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25B6" w14:textId="027BC528" w:rsidR="005C5BB2" w:rsidRPr="00230B09" w:rsidRDefault="005C5BB2" w:rsidP="005C5BB2">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sidR="004A5B9B">
        <w:rPr>
          <w:rFonts w:ascii="Arial" w:hAnsi="Arial" w:cs="Arial"/>
          <w:b/>
          <w:bCs/>
          <w:noProof/>
          <w:sz w:val="24"/>
          <w:szCs w:val="26"/>
        </w:rPr>
        <w:t>6</w:t>
      </w:r>
      <w:r w:rsidR="003D5704" w:rsidRPr="00230B09">
        <w:rPr>
          <w:rFonts w:ascii="Arial" w:hAnsi="Arial" w:cs="Arial"/>
          <w:b/>
          <w:bCs/>
          <w:noProof/>
          <w:sz w:val="24"/>
          <w:szCs w:val="26"/>
        </w:rPr>
        <w:t xml:space="preserve">     </w:t>
      </w:r>
      <w:r w:rsidRPr="00230B09">
        <w:rPr>
          <w:rFonts w:ascii="Arial" w:hAnsi="Arial" w:cs="Arial"/>
          <w:b/>
          <w:bCs/>
          <w:noProof/>
          <w:sz w:val="24"/>
          <w:szCs w:val="26"/>
        </w:rPr>
        <w:t xml:space="preserve">                                     R1-2</w:t>
      </w:r>
      <w:r w:rsidR="004A5B9B">
        <w:rPr>
          <w:rFonts w:ascii="Arial" w:hAnsi="Arial" w:cs="Arial"/>
          <w:b/>
          <w:bCs/>
          <w:noProof/>
          <w:sz w:val="24"/>
          <w:szCs w:val="26"/>
        </w:rPr>
        <w:t>4</w:t>
      </w:r>
      <w:r w:rsidR="00AE1C3A">
        <w:rPr>
          <w:rFonts w:ascii="Arial" w:hAnsi="Arial" w:cs="Arial"/>
          <w:b/>
          <w:bCs/>
          <w:noProof/>
          <w:sz w:val="24"/>
          <w:szCs w:val="26"/>
        </w:rPr>
        <w:t>01234</w:t>
      </w:r>
    </w:p>
    <w:p w14:paraId="55E16F8A" w14:textId="1880F80F" w:rsidR="005C5BB2" w:rsidRPr="00D90D3F" w:rsidRDefault="004A5B9B" w:rsidP="005C5BB2">
      <w:pPr>
        <w:tabs>
          <w:tab w:val="left" w:pos="1985"/>
        </w:tabs>
        <w:spacing w:after="240"/>
        <w:rPr>
          <w:rFonts w:ascii="Arial" w:hAnsi="Arial" w:cs="Arial"/>
          <w:b/>
          <w:bCs/>
          <w:noProof/>
          <w:sz w:val="24"/>
          <w:szCs w:val="26"/>
        </w:rPr>
      </w:pPr>
      <w:r>
        <w:rPr>
          <w:rFonts w:ascii="Arial" w:hAnsi="Arial" w:cs="Arial"/>
          <w:b/>
          <w:bCs/>
          <w:noProof/>
          <w:sz w:val="24"/>
          <w:szCs w:val="26"/>
        </w:rPr>
        <w:t>Athens, Greece, February</w:t>
      </w:r>
      <w:r w:rsidR="005C5BB2" w:rsidRPr="00230B09">
        <w:rPr>
          <w:rFonts w:ascii="Arial" w:hAnsi="Arial" w:cs="Arial"/>
          <w:b/>
          <w:bCs/>
          <w:noProof/>
          <w:sz w:val="24"/>
          <w:szCs w:val="26"/>
        </w:rPr>
        <w:t xml:space="preserve"> </w:t>
      </w:r>
      <w:r w:rsidR="003D5704" w:rsidRPr="00230B09">
        <w:rPr>
          <w:rFonts w:ascii="Arial" w:hAnsi="Arial" w:cs="Arial"/>
          <w:b/>
          <w:bCs/>
          <w:noProof/>
          <w:sz w:val="24"/>
          <w:szCs w:val="26"/>
        </w:rPr>
        <w:t>2</w:t>
      </w:r>
      <w:r>
        <w:rPr>
          <w:rFonts w:ascii="Arial" w:hAnsi="Arial" w:cs="Arial"/>
          <w:b/>
          <w:bCs/>
          <w:noProof/>
          <w:sz w:val="24"/>
          <w:szCs w:val="26"/>
        </w:rPr>
        <w:t>6</w:t>
      </w:r>
      <w:r>
        <w:rPr>
          <w:rFonts w:ascii="Arial" w:hAnsi="Arial" w:cs="Arial"/>
          <w:b/>
          <w:bCs/>
          <w:noProof/>
          <w:sz w:val="24"/>
          <w:szCs w:val="26"/>
          <w:vertAlign w:val="superscript"/>
        </w:rPr>
        <w:t>th</w:t>
      </w:r>
      <w:r w:rsidR="005C5BB2" w:rsidRPr="00230B09">
        <w:rPr>
          <w:rFonts w:ascii="Arial" w:hAnsi="Arial" w:cs="Arial"/>
          <w:b/>
          <w:bCs/>
          <w:noProof/>
          <w:sz w:val="24"/>
          <w:szCs w:val="26"/>
        </w:rPr>
        <w:t xml:space="preserve"> – </w:t>
      </w:r>
      <w:r>
        <w:rPr>
          <w:rFonts w:ascii="Arial" w:hAnsi="Arial" w:cs="Arial"/>
          <w:b/>
          <w:bCs/>
          <w:noProof/>
          <w:sz w:val="24"/>
          <w:szCs w:val="26"/>
        </w:rPr>
        <w:t>March</w:t>
      </w:r>
      <w:r w:rsidR="005C5BB2" w:rsidRPr="00230B09">
        <w:rPr>
          <w:rFonts w:ascii="Arial" w:hAnsi="Arial" w:cs="Arial"/>
          <w:b/>
          <w:bCs/>
          <w:noProof/>
          <w:sz w:val="24"/>
          <w:szCs w:val="26"/>
        </w:rPr>
        <w:t xml:space="preserve"> </w:t>
      </w:r>
      <w:r>
        <w:rPr>
          <w:rFonts w:ascii="Arial" w:hAnsi="Arial" w:cs="Arial"/>
          <w:b/>
          <w:bCs/>
          <w:noProof/>
          <w:sz w:val="24"/>
          <w:szCs w:val="26"/>
        </w:rPr>
        <w:t>1</w:t>
      </w:r>
      <w:r w:rsidRPr="004A5B9B">
        <w:rPr>
          <w:rFonts w:ascii="Arial" w:hAnsi="Arial" w:cs="Arial"/>
          <w:b/>
          <w:bCs/>
          <w:noProof/>
          <w:sz w:val="24"/>
          <w:szCs w:val="26"/>
          <w:vertAlign w:val="superscript"/>
        </w:rPr>
        <w:t>st</w:t>
      </w:r>
      <w:r w:rsidR="005C5BB2" w:rsidRPr="00230B09">
        <w:rPr>
          <w:rFonts w:ascii="Arial" w:hAnsi="Arial" w:cs="Arial"/>
          <w:b/>
          <w:bCs/>
          <w:noProof/>
          <w:sz w:val="24"/>
          <w:szCs w:val="26"/>
        </w:rPr>
        <w:t>, 202</w:t>
      </w:r>
      <w:r>
        <w:rPr>
          <w:rFonts w:ascii="Arial" w:hAnsi="Arial" w:cs="Arial"/>
          <w:b/>
          <w:bCs/>
          <w:noProof/>
          <w:sz w:val="24"/>
          <w:szCs w:val="26"/>
        </w:rPr>
        <w:t>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45C290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F72159">
        <w:rPr>
          <w:rFonts w:ascii="Arial" w:hAnsi="Arial" w:cs="Arial"/>
          <w:b/>
          <w:sz w:val="24"/>
          <w:szCs w:val="26"/>
          <w:lang w:val="en-US"/>
        </w:rPr>
        <w:t>Adaptation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ED6379F" w14:textId="15285C76" w:rsidR="00A55BE8" w:rsidRPr="00F63C24" w:rsidRDefault="00F63C24" w:rsidP="005F6F4C">
      <w:r w:rsidRPr="00C60F71">
        <w:rPr>
          <w:rFonts w:hint="eastAsia"/>
        </w:rPr>
        <w:t>I</w:t>
      </w:r>
      <w:r w:rsidRPr="00C60F71">
        <w:t>n RAN</w:t>
      </w:r>
      <w:r>
        <w:t>#102, a new work item</w:t>
      </w:r>
      <w:r w:rsidR="005F6F4C">
        <w:t xml:space="preserve"> for Rel-19 NR</w:t>
      </w:r>
      <w:r>
        <w:t xml:space="preserve"> “</w:t>
      </w:r>
      <w:r w:rsidR="005F6F4C">
        <w:t>e</w:t>
      </w:r>
      <w:r w:rsidRPr="00295955">
        <w:t>nhancements of network energy savings for NR</w:t>
      </w:r>
      <w:r>
        <w:t>” was approved</w:t>
      </w:r>
      <w:r w:rsidR="00AE714E">
        <w:t xml:space="preserve"> </w:t>
      </w:r>
      <w:r w:rsidR="00AE714E" w:rsidRPr="000D0959">
        <w:t>[1]</w:t>
      </w:r>
      <w:r>
        <w:t>. The work item aims to specify further network energy saving techniques which were found beneficial in the Rel-18 study</w:t>
      </w:r>
      <w:r w:rsidR="005F6F4C">
        <w:t>, including</w:t>
      </w:r>
      <w:r w:rsidR="00AE714E">
        <w:t xml:space="preserve"> adaptation of common signal/channel transmissions</w:t>
      </w:r>
      <w:r w:rsidR="005F6F4C">
        <w:t>. The common signal/channel transmissions include SSB, PRACH, and paging as captured below</w:t>
      </w:r>
      <w:r w:rsidRPr="000D0959">
        <w:t>.</w:t>
      </w:r>
      <w:r w:rsidRPr="000D0959">
        <w:rPr>
          <w:rFonts w:hint="eastAsia"/>
        </w:rPr>
        <w:t xml:space="preserve"> I</w:t>
      </w:r>
      <w:r w:rsidRPr="000D0959">
        <w:t xml:space="preserve">n this contribution, we </w:t>
      </w:r>
      <w:r w:rsidR="005F6F4C">
        <w:t>discuss</w:t>
      </w:r>
      <w:r w:rsidRPr="000D0959">
        <w:t xml:space="preserve"> potential enhancements </w:t>
      </w:r>
      <w:r w:rsidR="005F6F4C">
        <w:t>on those signals/channels for Rel-19 NES.</w:t>
      </w:r>
    </w:p>
    <w:tbl>
      <w:tblPr>
        <w:tblStyle w:val="a9"/>
        <w:tblW w:w="0" w:type="auto"/>
        <w:tblLook w:val="04A0" w:firstRow="1" w:lastRow="0" w:firstColumn="1" w:lastColumn="0" w:noHBand="0" w:noVBand="1"/>
      </w:tblPr>
      <w:tblGrid>
        <w:gridCol w:w="9288"/>
      </w:tblGrid>
      <w:tr w:rsidR="00086478" w14:paraId="00783691" w14:textId="77777777" w:rsidTr="00086478">
        <w:tc>
          <w:tcPr>
            <w:tcW w:w="9288" w:type="dxa"/>
          </w:tcPr>
          <w:p w14:paraId="12345590" w14:textId="696E76BC" w:rsidR="00086478" w:rsidRDefault="00086478" w:rsidP="00AE714E">
            <w:pPr>
              <w:widowControl/>
              <w:overflowPunct w:val="0"/>
              <w:adjustRightInd w:val="0"/>
              <w:spacing w:after="60"/>
              <w:jc w:val="left"/>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4DCDECD4" w14:textId="09713CAD" w:rsidR="00CD2187" w:rsidRPr="00CD2187" w:rsidRDefault="00CD2187" w:rsidP="00AE714E">
            <w:pPr>
              <w:pStyle w:val="a4"/>
              <w:widowControl/>
              <w:numPr>
                <w:ilvl w:val="0"/>
                <w:numId w:val="46"/>
              </w:numPr>
              <w:overflowPunct w:val="0"/>
              <w:adjustRightInd w:val="0"/>
              <w:spacing w:after="60"/>
              <w:ind w:leftChars="0"/>
              <w:jc w:val="left"/>
              <w:textAlignment w:val="baseline"/>
              <w:rPr>
                <w:rFonts w:eastAsia="SimSun"/>
                <w:lang w:eastAsia="zh-CN"/>
              </w:rPr>
            </w:pPr>
            <w:r>
              <w:rPr>
                <w:rFonts w:eastAsiaTheme="minorEastAsia" w:hint="eastAsia"/>
              </w:rPr>
              <w:t>A</w:t>
            </w:r>
            <w:r>
              <w:rPr>
                <w:rFonts w:eastAsiaTheme="minorEastAsia"/>
              </w:rPr>
              <w:t>daptation of</w:t>
            </w:r>
            <w:r w:rsidRPr="007563E2">
              <w:rPr>
                <w:bCs/>
                <w:lang w:val="en-US" w:eastAsia="zh-CN"/>
              </w:rPr>
              <w:t xml:space="preserve"> SSB in time domain, e.g. adapting periodicity</w:t>
            </w:r>
          </w:p>
          <w:p w14:paraId="66AA376C" w14:textId="77777777" w:rsidR="00086478" w:rsidRPr="00CD2187" w:rsidRDefault="00086478" w:rsidP="00AE714E">
            <w:pPr>
              <w:pStyle w:val="a4"/>
              <w:widowControl/>
              <w:numPr>
                <w:ilvl w:val="0"/>
                <w:numId w:val="46"/>
              </w:numPr>
              <w:overflowPunct w:val="0"/>
              <w:adjustRightInd w:val="0"/>
              <w:spacing w:after="60"/>
              <w:ind w:leftChars="0"/>
              <w:jc w:val="left"/>
              <w:textAlignment w:val="baseline"/>
              <w:rPr>
                <w:rFonts w:eastAsiaTheme="minorEastAsia"/>
              </w:rPr>
            </w:pPr>
            <w:r w:rsidRPr="00CD2187">
              <w:rPr>
                <w:rFonts w:eastAsiaTheme="minorEastAsia"/>
              </w:rPr>
              <w:t>Adaptation of PRACH in time domain</w:t>
            </w:r>
          </w:p>
          <w:p w14:paraId="2B1D1D1A" w14:textId="79E2B460" w:rsidR="00086478" w:rsidRDefault="00086478" w:rsidP="00AE714E">
            <w:pPr>
              <w:pStyle w:val="a4"/>
              <w:widowControl/>
              <w:numPr>
                <w:ilvl w:val="0"/>
                <w:numId w:val="46"/>
              </w:numPr>
              <w:overflowPunct w:val="0"/>
              <w:adjustRightInd w:val="0"/>
              <w:spacing w:after="60"/>
              <w:ind w:leftChars="0"/>
              <w:jc w:val="left"/>
              <w:textAlignment w:val="baseline"/>
              <w:rPr>
                <w:rFonts w:eastAsiaTheme="minorEastAsia"/>
              </w:rPr>
            </w:pPr>
            <w:r w:rsidRPr="00CD2187">
              <w:rPr>
                <w:rFonts w:eastAsiaTheme="minorEastAsia"/>
              </w:rPr>
              <w:t>Study adaptation of PRACH in spatial domain, e.g. non-uniform PRACH resources per SSB, and specify if found beneficial</w:t>
            </w:r>
          </w:p>
          <w:p w14:paraId="092EBE77" w14:textId="044529B7" w:rsidR="00CD2187" w:rsidRPr="00CD2187" w:rsidRDefault="00CD2187" w:rsidP="00AE714E">
            <w:pPr>
              <w:pStyle w:val="a4"/>
              <w:widowControl/>
              <w:numPr>
                <w:ilvl w:val="1"/>
                <w:numId w:val="46"/>
              </w:numPr>
              <w:overflowPunct w:val="0"/>
              <w:adjustRightInd w:val="0"/>
              <w:spacing w:after="60"/>
              <w:ind w:leftChars="0"/>
              <w:jc w:val="left"/>
              <w:textAlignment w:val="baseline"/>
              <w:rPr>
                <w:rFonts w:eastAsiaTheme="minorEastAsia"/>
              </w:rPr>
            </w:pPr>
            <w:r>
              <w:t>This study is to be done in 2Q’2024 only</w:t>
            </w:r>
          </w:p>
          <w:p w14:paraId="64A9EE45" w14:textId="77777777" w:rsidR="00086478" w:rsidRPr="00CD2187" w:rsidRDefault="00086478" w:rsidP="00AE714E">
            <w:pPr>
              <w:pStyle w:val="a4"/>
              <w:widowControl/>
              <w:numPr>
                <w:ilvl w:val="0"/>
                <w:numId w:val="46"/>
              </w:numPr>
              <w:overflowPunct w:val="0"/>
              <w:adjustRightInd w:val="0"/>
              <w:spacing w:after="60"/>
              <w:ind w:leftChars="0"/>
              <w:jc w:val="left"/>
              <w:textAlignment w:val="baseline"/>
              <w:rPr>
                <w:rFonts w:eastAsiaTheme="minorEastAsia"/>
              </w:rPr>
            </w:pPr>
            <w:r w:rsidRPr="00CD2187">
              <w:rPr>
                <w:rFonts w:eastAsiaTheme="minorEastAsia"/>
              </w:rPr>
              <w:t>Adaptation of paging occasions including confining the paging occasions in the time domain</w:t>
            </w:r>
          </w:p>
          <w:p w14:paraId="6626CBB1" w14:textId="77777777" w:rsidR="00086478" w:rsidRDefault="00086478" w:rsidP="00AE714E">
            <w:pPr>
              <w:pStyle w:val="a4"/>
              <w:widowControl/>
              <w:numPr>
                <w:ilvl w:val="1"/>
                <w:numId w:val="46"/>
              </w:numPr>
              <w:overflowPunct w:val="0"/>
              <w:adjustRightInd w:val="0"/>
              <w:spacing w:after="60"/>
              <w:ind w:leftChars="0"/>
              <w:jc w:val="left"/>
              <w:textAlignment w:val="baseline"/>
            </w:pPr>
            <w:r w:rsidRPr="007563E2">
              <w:t>Note: there shall be no paging latency increase</w:t>
            </w:r>
          </w:p>
          <w:p w14:paraId="7A6143F0" w14:textId="79614473" w:rsidR="00086478" w:rsidRDefault="00086478" w:rsidP="00AE714E">
            <w:pPr>
              <w:pStyle w:val="a4"/>
              <w:widowControl/>
              <w:numPr>
                <w:ilvl w:val="0"/>
                <w:numId w:val="46"/>
              </w:numPr>
              <w:overflowPunct w:val="0"/>
              <w:adjustRightInd w:val="0"/>
              <w:spacing w:after="60"/>
              <w:ind w:leftChars="0" w:left="806" w:hanging="403"/>
              <w:jc w:val="left"/>
              <w:textAlignment w:val="baseline"/>
            </w:pPr>
            <w:r w:rsidRPr="00CD2187">
              <w:rPr>
                <w:rFonts w:eastAsiaTheme="minorEastAsia"/>
              </w:rPr>
              <w:t>Note: there shall be no negative impact to legacy UEs, unless significant benefits are shown</w:t>
            </w:r>
          </w:p>
        </w:tc>
      </w:tr>
    </w:tbl>
    <w:p w14:paraId="1DEDA29A" w14:textId="77777777" w:rsidR="00086478" w:rsidRPr="001B7667" w:rsidRDefault="00086478" w:rsidP="00C02370"/>
    <w:p w14:paraId="1CA44EF5" w14:textId="64ED87B7" w:rsidR="00B14A93" w:rsidRPr="003F3363" w:rsidRDefault="00640844" w:rsidP="00927A05">
      <w:pPr>
        <w:pStyle w:val="1"/>
      </w:pPr>
      <w:r>
        <w:rPr>
          <w:lang w:eastAsia="ko-KR"/>
        </w:rPr>
        <w:t>Discussion</w:t>
      </w:r>
    </w:p>
    <w:p w14:paraId="3838B5AC" w14:textId="4ADD5A37" w:rsidR="00F527CE" w:rsidRPr="00F527CE" w:rsidRDefault="001E1159" w:rsidP="00C02370">
      <w:pPr>
        <w:rPr>
          <w:b/>
          <w:u w:val="single"/>
        </w:rPr>
      </w:pPr>
      <w:r>
        <w:rPr>
          <w:b/>
          <w:u w:val="single"/>
        </w:rPr>
        <w:t>Localized</w:t>
      </w:r>
      <w:r w:rsidR="00FC5C8A">
        <w:rPr>
          <w:b/>
          <w:u w:val="single"/>
        </w:rPr>
        <w:t xml:space="preserve"> </w:t>
      </w:r>
      <w:r w:rsidR="008C0E9A">
        <w:rPr>
          <w:b/>
          <w:u w:val="single"/>
        </w:rPr>
        <w:t>PO</w:t>
      </w:r>
      <w:r w:rsidR="00F26E10">
        <w:rPr>
          <w:b/>
          <w:u w:val="single"/>
        </w:rPr>
        <w:t xml:space="preserve"> resource</w:t>
      </w:r>
      <w:r>
        <w:rPr>
          <w:b/>
          <w:u w:val="single"/>
        </w:rPr>
        <w:t xml:space="preserve"> pattern</w:t>
      </w:r>
    </w:p>
    <w:p w14:paraId="70D245C3" w14:textId="02A78D53" w:rsidR="00C97D3D" w:rsidRDefault="00C97D3D" w:rsidP="000D2D59">
      <w:r>
        <w:t xml:space="preserve">An </w:t>
      </w:r>
      <w:r w:rsidR="00925591">
        <w:t xml:space="preserve">RRC </w:t>
      </w:r>
      <w:r>
        <w:t>idle</w:t>
      </w:r>
      <w:r w:rsidR="00925591">
        <w:t>/inactive</w:t>
      </w:r>
      <w:r>
        <w:t xml:space="preserve"> mode </w:t>
      </w:r>
      <w:r w:rsidR="00FC5C8A">
        <w:t>UE perform</w:t>
      </w:r>
      <w:r w:rsidR="00B901E5">
        <w:t>s</w:t>
      </w:r>
      <w:r w:rsidR="00FC5C8A">
        <w:t xml:space="preserve"> </w:t>
      </w:r>
      <w:r>
        <w:t>the</w:t>
      </w:r>
      <w:r w:rsidR="00FC5C8A">
        <w:t xml:space="preserve"> DRX operation based on the paging mechanism. According to the current specification, </w:t>
      </w:r>
      <w:r w:rsidR="00F26E10">
        <w:t xml:space="preserve">UE identifies a PF and a PO to perform </w:t>
      </w:r>
      <w:r w:rsidR="00D7294D">
        <w:t>paging DCI</w:t>
      </w:r>
      <w:r w:rsidR="00F26E10">
        <w:t xml:space="preserve"> monitoring in </w:t>
      </w:r>
      <w:r w:rsidR="00D7294D">
        <w:t>every</w:t>
      </w:r>
      <w:r w:rsidR="00F26E10">
        <w:t xml:space="preserve"> DRX cycle. There can be multiple PFs, each consisting of one or multiple POs, in a DRX cycle to allocate different </w:t>
      </w:r>
      <w:r w:rsidR="00B94E90">
        <w:t xml:space="preserve">paging </w:t>
      </w:r>
      <w:r w:rsidR="00F26E10">
        <w:t>resources to multiple UE</w:t>
      </w:r>
      <w:r w:rsidR="00B94E90">
        <w:t xml:space="preserve"> group</w:t>
      </w:r>
      <w:r w:rsidR="00F26E10">
        <w:t>s for the case where a large number of UEs are camping on or attached to a serving cell. The PFs are evenly distributed in time. Although the distributed PF</w:t>
      </w:r>
      <w:r w:rsidR="00D72457">
        <w:t xml:space="preserve"> and </w:t>
      </w:r>
      <w:r w:rsidR="00F26E10">
        <w:t>PO allocation is helpful in securing paging resources, it has a negative impact on the network’s energy saving operation due to frequent wake-up actions to page UEs. To avoid such operation, it is beneficial to confine paging resources</w:t>
      </w:r>
      <w:r w:rsidR="00F55EE4">
        <w:t xml:space="preserve"> to only few radio frames.</w:t>
      </w:r>
      <w:r w:rsidR="00F55EE4">
        <w:rPr>
          <w:rFonts w:hint="eastAsia"/>
        </w:rPr>
        <w:t xml:space="preserve"> </w:t>
      </w:r>
      <w:r>
        <w:rPr>
          <w:rFonts w:hint="eastAsia"/>
        </w:rPr>
        <w:t>T</w:t>
      </w:r>
      <w:r>
        <w:t>wo methods can be considered.</w:t>
      </w:r>
    </w:p>
    <w:p w14:paraId="434DEBE6" w14:textId="4CA83C9A" w:rsidR="00B45A87" w:rsidRDefault="004B4E2C" w:rsidP="000D2D59">
      <w:r>
        <w:rPr>
          <w:rFonts w:hint="eastAsia"/>
        </w:rPr>
        <w:t>F</w:t>
      </w:r>
      <w:r>
        <w:t xml:space="preserve">irst alternative is to allocate </w:t>
      </w:r>
      <w:r w:rsidR="00F55EE4">
        <w:t xml:space="preserve">the </w:t>
      </w:r>
      <w:r>
        <w:t xml:space="preserve">PFs </w:t>
      </w:r>
      <w:r w:rsidR="00F55EE4">
        <w:t>in consecutive radio frame(s)</w:t>
      </w:r>
      <w:r>
        <w:t>.</w:t>
      </w:r>
      <w:r w:rsidR="00F55EE4">
        <w:t xml:space="preserve"> </w:t>
      </w:r>
      <w:r w:rsidR="00226AFA">
        <w:t xml:space="preserve">Referring to </w:t>
      </w:r>
      <w:r w:rsidR="00B45A87">
        <w:t xml:space="preserve">an example in </w:t>
      </w:r>
      <w:r w:rsidR="00226AFA">
        <w:t xml:space="preserve">Figure 1, </w:t>
      </w:r>
      <w:r w:rsidR="00B45A87">
        <w:t xml:space="preserve">4 PFs </w:t>
      </w:r>
      <w:r w:rsidR="00D72457">
        <w:t xml:space="preserve">(N=4) </w:t>
      </w:r>
      <w:r w:rsidR="00B45A87">
        <w:t>can be allocated to 4 contiguous radio frames in a DRX cycle</w:t>
      </w:r>
      <w:r w:rsidR="00D72457">
        <w:t xml:space="preserve"> (T=16)</w:t>
      </w:r>
      <w:r w:rsidR="00B45A87">
        <w:t xml:space="preserve">. Each PF may comprise one or multiple </w:t>
      </w:r>
      <w:proofErr w:type="spellStart"/>
      <w:r w:rsidR="00B45A87">
        <w:t>POs.</w:t>
      </w:r>
      <w:proofErr w:type="spellEnd"/>
      <w:r w:rsidR="00B45A87">
        <w:t xml:space="preserve"> Figure 2 is another example where paging resources are more temporally </w:t>
      </w:r>
      <w:r w:rsidR="001E1159">
        <w:t>localized</w:t>
      </w:r>
      <w:r w:rsidR="00D72457">
        <w:t xml:space="preserve"> while providing the same number of POs as the previous example</w:t>
      </w:r>
      <w:r w:rsidR="00B45A87">
        <w:t xml:space="preserve">. </w:t>
      </w:r>
      <w:r w:rsidR="001E1159">
        <w:t>As shown in the figure, a</w:t>
      </w:r>
      <w:r w:rsidR="00B45A87">
        <w:t xml:space="preserve">ll the POs can be confined </w:t>
      </w:r>
      <w:r w:rsidR="001E1159">
        <w:t>with</w:t>
      </w:r>
      <w:r w:rsidR="00B45A87">
        <w:t xml:space="preserve">in </w:t>
      </w:r>
      <w:r w:rsidR="00D72457">
        <w:t>a single</w:t>
      </w:r>
      <w:r w:rsidR="00B45A87">
        <w:t xml:space="preserve"> </w:t>
      </w:r>
      <w:r w:rsidR="00194B62">
        <w:t xml:space="preserve">common </w:t>
      </w:r>
      <w:r w:rsidR="00D72457">
        <w:t>paging frame</w:t>
      </w:r>
      <w:r w:rsidR="00B45A87">
        <w:t>. If the POs comprise</w:t>
      </w:r>
      <w:r w:rsidR="001E1159">
        <w:t xml:space="preserve"> a large number of</w:t>
      </w:r>
      <w:r w:rsidR="00B45A87">
        <w:t xml:space="preserve"> PDCCH monitoring occasions, a part of the POs may be mapped to </w:t>
      </w:r>
      <w:r w:rsidR="001E1159">
        <w:t xml:space="preserve">include </w:t>
      </w:r>
      <w:r w:rsidR="00B45A87">
        <w:t>a next radio frame.</w:t>
      </w:r>
    </w:p>
    <w:p w14:paraId="4AAC53E3" w14:textId="77777777" w:rsidR="003F51A7" w:rsidRDefault="003F51A7" w:rsidP="000D2D59"/>
    <w:p w14:paraId="761BC179" w14:textId="3C958995" w:rsidR="004B4E2C" w:rsidRDefault="003F51A7" w:rsidP="004B4E2C">
      <w:pPr>
        <w:jc w:val="center"/>
      </w:pPr>
      <w:r>
        <w:rPr>
          <w:noProof/>
        </w:rPr>
        <w:lastRenderedPageBreak/>
        <w:drawing>
          <wp:inline distT="0" distB="0" distL="0" distR="0" wp14:anchorId="0E8AB4DB" wp14:editId="69E6828D">
            <wp:extent cx="3685082" cy="1444625"/>
            <wp:effectExtent l="0" t="0" r="0" b="3175"/>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2128" cy="1470908"/>
                    </a:xfrm>
                    <a:prstGeom prst="rect">
                      <a:avLst/>
                    </a:prstGeom>
                  </pic:spPr>
                </pic:pic>
              </a:graphicData>
            </a:graphic>
          </wp:inline>
        </w:drawing>
      </w:r>
    </w:p>
    <w:p w14:paraId="0233DE1B" w14:textId="4E9F6590" w:rsidR="003F51A7" w:rsidRDefault="003F51A7" w:rsidP="004B4E2C">
      <w:pPr>
        <w:jc w:val="center"/>
      </w:pPr>
      <w:r>
        <w:rPr>
          <w:rFonts w:hint="eastAsia"/>
        </w:rPr>
        <w:t>F</w:t>
      </w:r>
      <w:r>
        <w:t xml:space="preserve">igure 1. An example of </w:t>
      </w:r>
      <w:r w:rsidR="001E1159">
        <w:t>localized</w:t>
      </w:r>
      <w:r>
        <w:t xml:space="preserve"> PFs and POs</w:t>
      </w:r>
    </w:p>
    <w:p w14:paraId="4B4BA9F0" w14:textId="3E8478FE" w:rsidR="004B4E2C" w:rsidRPr="003F51A7" w:rsidRDefault="004B4E2C" w:rsidP="000D2D59"/>
    <w:p w14:paraId="7B22700D" w14:textId="370FE503" w:rsidR="006C1A86" w:rsidRDefault="003F51A7" w:rsidP="006C1A86">
      <w:pPr>
        <w:jc w:val="center"/>
      </w:pPr>
      <w:r>
        <w:rPr>
          <w:noProof/>
        </w:rPr>
        <w:drawing>
          <wp:inline distT="0" distB="0" distL="0" distR="0" wp14:anchorId="594C8679" wp14:editId="1E63E42B">
            <wp:extent cx="3648075" cy="164041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20436" cy="1672955"/>
                    </a:xfrm>
                    <a:prstGeom prst="rect">
                      <a:avLst/>
                    </a:prstGeom>
                  </pic:spPr>
                </pic:pic>
              </a:graphicData>
            </a:graphic>
          </wp:inline>
        </w:drawing>
      </w:r>
    </w:p>
    <w:p w14:paraId="3469B1F6" w14:textId="6B4AE01F" w:rsidR="003F51A7" w:rsidRDefault="003F51A7" w:rsidP="006C1A86">
      <w:pPr>
        <w:jc w:val="center"/>
      </w:pPr>
      <w:r>
        <w:rPr>
          <w:rFonts w:hint="eastAsia"/>
        </w:rPr>
        <w:t>F</w:t>
      </w:r>
      <w:r>
        <w:t xml:space="preserve">igure 2. Another example of </w:t>
      </w:r>
      <w:r w:rsidR="001E1159">
        <w:t>localized</w:t>
      </w:r>
      <w:r>
        <w:t xml:space="preserve"> POs</w:t>
      </w:r>
    </w:p>
    <w:p w14:paraId="52556F11" w14:textId="77777777" w:rsidR="006C1A86" w:rsidRDefault="006C1A86" w:rsidP="000D2D59"/>
    <w:p w14:paraId="65F3625D" w14:textId="3F9448E3" w:rsidR="005C5D7B" w:rsidRDefault="003F51A7" w:rsidP="003F51A7">
      <w:r>
        <w:t>Second alternative</w:t>
      </w:r>
      <w:r w:rsidR="00CE527B">
        <w:t xml:space="preserve"> to </w:t>
      </w:r>
      <w:r w:rsidR="001E1159">
        <w:t>localize the</w:t>
      </w:r>
      <w:r w:rsidR="00CE527B">
        <w:t xml:space="preserve"> </w:t>
      </w:r>
      <w:r w:rsidR="00F632E5">
        <w:t>POs</w:t>
      </w:r>
      <w:r>
        <w:t xml:space="preserve"> is to</w:t>
      </w:r>
      <w:r w:rsidR="00C97D3D">
        <w:t xml:space="preserve"> </w:t>
      </w:r>
      <w:r>
        <w:t>r</w:t>
      </w:r>
      <w:r w:rsidR="00C97D3D">
        <w:t xml:space="preserve">euse Type 0 PDCCH CSS set for </w:t>
      </w:r>
      <w:r w:rsidR="001E1159">
        <w:t xml:space="preserve">the </w:t>
      </w:r>
      <w:r w:rsidR="00C97D3D">
        <w:t xml:space="preserve">paging </w:t>
      </w:r>
      <w:r w:rsidR="00D72457">
        <w:t>transmission</w:t>
      </w:r>
      <w:r>
        <w:t>.</w:t>
      </w:r>
      <w:r w:rsidR="001E1159">
        <w:t xml:space="preserve"> </w:t>
      </w:r>
      <w:r w:rsidR="00194B62">
        <w:t>That is</w:t>
      </w:r>
      <w:r w:rsidR="005C5D7B">
        <w:t>,</w:t>
      </w:r>
      <w:r w:rsidR="009308E9">
        <w:t xml:space="preserve"> the </w:t>
      </w:r>
      <w:r w:rsidR="00D72457">
        <w:t>PDCCH monitoring occasions of the</w:t>
      </w:r>
      <w:r w:rsidR="005C5D7B">
        <w:t xml:space="preserve"> Type 0 PDCCH CSS set</w:t>
      </w:r>
      <w:r w:rsidR="009308E9">
        <w:t xml:space="preserve"> </w:t>
      </w:r>
      <w:r w:rsidR="005C5D7B">
        <w:t xml:space="preserve">may serve as the </w:t>
      </w:r>
      <w:proofErr w:type="spellStart"/>
      <w:r w:rsidR="005C5D7B">
        <w:t>POs.</w:t>
      </w:r>
      <w:proofErr w:type="spellEnd"/>
      <w:r w:rsidR="005C5D7B">
        <w:t xml:space="preserve"> </w:t>
      </w:r>
      <w:r w:rsidR="001E1159">
        <w:t xml:space="preserve">UE may monitor the paging PDCCH in addition to the SIB1 PDCCH on the Type 0 </w:t>
      </w:r>
      <w:r w:rsidR="005C5D7B">
        <w:t xml:space="preserve">PDCCH </w:t>
      </w:r>
      <w:r w:rsidR="001E1159">
        <w:t xml:space="preserve">CSS set. Or equivalently, </w:t>
      </w:r>
      <w:r w:rsidR="005C5D7B">
        <w:t xml:space="preserve">UE may assume that </w:t>
      </w:r>
      <w:r w:rsidR="001E1159">
        <w:t xml:space="preserve">Type 2 </w:t>
      </w:r>
      <w:r w:rsidR="005C5D7B">
        <w:t xml:space="preserve">PDCCH </w:t>
      </w:r>
      <w:r w:rsidR="001E1159">
        <w:t xml:space="preserve">CSS set </w:t>
      </w:r>
      <w:r w:rsidR="005C5D7B">
        <w:t xml:space="preserve">for paging is identical to </w:t>
      </w:r>
      <w:r w:rsidR="001E1159">
        <w:t xml:space="preserve">the Type 0 </w:t>
      </w:r>
      <w:r w:rsidR="005C5D7B">
        <w:t xml:space="preserve">PDCCH </w:t>
      </w:r>
      <w:r w:rsidR="001E1159">
        <w:t>CSS set</w:t>
      </w:r>
      <w:r w:rsidR="005C5D7B">
        <w:t xml:space="preserve">. According to this approach, </w:t>
      </w:r>
      <w:proofErr w:type="spellStart"/>
      <w:r w:rsidR="005C5D7B">
        <w:t>gNB</w:t>
      </w:r>
      <w:proofErr w:type="spellEnd"/>
      <w:r w:rsidR="005C5D7B">
        <w:t xml:space="preserve"> and UE can wake up and transmit/monitor SSB, SIB1, and the paging message </w:t>
      </w:r>
      <w:r w:rsidR="00194B62">
        <w:t xml:space="preserve">all </w:t>
      </w:r>
      <w:r w:rsidR="005C5D7B">
        <w:t>together, and no separate wake-up for</w:t>
      </w:r>
      <w:r w:rsidR="00194B62">
        <w:t xml:space="preserve"> the</w:t>
      </w:r>
      <w:r w:rsidR="005C5D7B">
        <w:t xml:space="preserve"> paging is not required.</w:t>
      </w:r>
    </w:p>
    <w:p w14:paraId="31C06A1E" w14:textId="0FAEDC77" w:rsidR="00C97D3D" w:rsidRDefault="00194B62" w:rsidP="003F51A7">
      <w:pPr>
        <w:rPr>
          <w:rFonts w:hint="eastAsia"/>
        </w:rPr>
      </w:pPr>
      <w:r>
        <w:t xml:space="preserve">The PO monitoring periodicity may be longer than the SIB1 or SSB periodicity. In that case, only part of the SIB1 periods can be used for paging as illustrated in Figure 3. In addition, </w:t>
      </w:r>
      <w:r w:rsidR="009308E9">
        <w:t>to distribute POs across UE groups, multiple POs can be defined using different SIB1 periods.</w:t>
      </w:r>
    </w:p>
    <w:p w14:paraId="4729E84D" w14:textId="3488F474" w:rsidR="00CE527B" w:rsidRDefault="00CE527B" w:rsidP="009308E9">
      <w:pPr>
        <w:spacing w:after="60"/>
        <w:rPr>
          <w:b/>
        </w:rPr>
      </w:pPr>
      <w:r w:rsidRPr="00CE527B">
        <w:rPr>
          <w:rFonts w:hint="eastAsia"/>
          <w:b/>
        </w:rPr>
        <w:t>P</w:t>
      </w:r>
      <w:r w:rsidRPr="00CE527B">
        <w:rPr>
          <w:b/>
        </w:rPr>
        <w:t>roposal 1:</w:t>
      </w:r>
      <w:r w:rsidR="009308E9">
        <w:rPr>
          <w:b/>
        </w:rPr>
        <w:t xml:space="preserve"> Consider the following alternatives to localize the paging resources in time:</w:t>
      </w:r>
    </w:p>
    <w:p w14:paraId="62C6E2D9" w14:textId="49B6B899" w:rsidR="009308E9" w:rsidRPr="009308E9" w:rsidRDefault="009308E9" w:rsidP="009308E9">
      <w:pPr>
        <w:pStyle w:val="a4"/>
        <w:widowControl/>
        <w:numPr>
          <w:ilvl w:val="0"/>
          <w:numId w:val="46"/>
        </w:numPr>
        <w:overflowPunct w:val="0"/>
        <w:adjustRightInd w:val="0"/>
        <w:spacing w:after="60"/>
        <w:ind w:leftChars="0"/>
        <w:jc w:val="left"/>
        <w:textAlignment w:val="baseline"/>
        <w:rPr>
          <w:rFonts w:eastAsiaTheme="minorEastAsia"/>
          <w:b/>
        </w:rPr>
      </w:pPr>
      <w:r w:rsidRPr="009308E9">
        <w:rPr>
          <w:rFonts w:eastAsiaTheme="minorEastAsia" w:hint="eastAsia"/>
          <w:b/>
        </w:rPr>
        <w:t>A</w:t>
      </w:r>
      <w:r w:rsidRPr="009308E9">
        <w:rPr>
          <w:rFonts w:eastAsiaTheme="minorEastAsia"/>
          <w:b/>
        </w:rPr>
        <w:t>lt. 1: Allocate POs in a single radio frame or a set of consecutive radio frames</w:t>
      </w:r>
    </w:p>
    <w:p w14:paraId="01D4B049" w14:textId="1C1FD58D" w:rsidR="009308E9" w:rsidRPr="009308E9" w:rsidRDefault="009308E9" w:rsidP="009308E9">
      <w:pPr>
        <w:pStyle w:val="a4"/>
        <w:widowControl/>
        <w:numPr>
          <w:ilvl w:val="0"/>
          <w:numId w:val="46"/>
        </w:numPr>
        <w:overflowPunct w:val="0"/>
        <w:adjustRightInd w:val="0"/>
        <w:ind w:leftChars="0" w:left="806" w:hanging="403"/>
        <w:jc w:val="left"/>
        <w:textAlignment w:val="baseline"/>
        <w:rPr>
          <w:rFonts w:eastAsiaTheme="minorEastAsia" w:hint="eastAsia"/>
          <w:b/>
        </w:rPr>
      </w:pPr>
      <w:r w:rsidRPr="009308E9">
        <w:rPr>
          <w:rFonts w:eastAsiaTheme="minorEastAsia" w:hint="eastAsia"/>
          <w:b/>
        </w:rPr>
        <w:t>A</w:t>
      </w:r>
      <w:r w:rsidRPr="009308E9">
        <w:rPr>
          <w:rFonts w:eastAsiaTheme="minorEastAsia"/>
          <w:b/>
        </w:rPr>
        <w:t>lt. 2: Reuse Type 0 PDCCH CSS set for paging</w:t>
      </w:r>
    </w:p>
    <w:p w14:paraId="325FB600" w14:textId="77777777" w:rsidR="00CE527B" w:rsidRPr="009308E9" w:rsidRDefault="00CE527B" w:rsidP="003F51A7">
      <w:pPr>
        <w:rPr>
          <w:rFonts w:hint="eastAsia"/>
        </w:rPr>
      </w:pPr>
    </w:p>
    <w:p w14:paraId="73B27561" w14:textId="50D88E0C" w:rsidR="00D45A0C" w:rsidRDefault="009308E9" w:rsidP="00FA1443">
      <w:pPr>
        <w:jc w:val="center"/>
        <w:rPr>
          <w:lang w:val="en-US"/>
        </w:rPr>
      </w:pPr>
      <w:r>
        <w:rPr>
          <w:noProof/>
        </w:rPr>
        <w:drawing>
          <wp:inline distT="0" distB="0" distL="0" distR="0" wp14:anchorId="32E25C87" wp14:editId="2519F801">
            <wp:extent cx="4514850" cy="134163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9024" cy="1375565"/>
                    </a:xfrm>
                    <a:prstGeom prst="rect">
                      <a:avLst/>
                    </a:prstGeom>
                  </pic:spPr>
                </pic:pic>
              </a:graphicData>
            </a:graphic>
          </wp:inline>
        </w:drawing>
      </w:r>
    </w:p>
    <w:p w14:paraId="29551C70" w14:textId="359E1869" w:rsidR="00FA1443" w:rsidRDefault="00FA1443" w:rsidP="00FA1443">
      <w:pPr>
        <w:jc w:val="center"/>
        <w:rPr>
          <w:lang w:val="en-US"/>
        </w:rPr>
      </w:pPr>
      <w:r>
        <w:rPr>
          <w:rFonts w:hint="eastAsia"/>
          <w:lang w:val="en-US"/>
        </w:rPr>
        <w:t>F</w:t>
      </w:r>
      <w:r>
        <w:rPr>
          <w:lang w:val="en-US"/>
        </w:rPr>
        <w:t xml:space="preserve">igure 3. </w:t>
      </w:r>
      <w:r w:rsidR="009308E9">
        <w:rPr>
          <w:lang w:val="en-US"/>
        </w:rPr>
        <w:t>An example of reusing Type 0 PDCCH CSS set for paging</w:t>
      </w:r>
    </w:p>
    <w:p w14:paraId="195357C4" w14:textId="37746DAF" w:rsidR="00093EC0" w:rsidRDefault="00093EC0" w:rsidP="00C02370">
      <w:pPr>
        <w:rPr>
          <w:lang w:val="en-US"/>
        </w:rPr>
      </w:pPr>
    </w:p>
    <w:p w14:paraId="08A0AFB7" w14:textId="190D82F2" w:rsidR="00FA1443" w:rsidRPr="00FA1443" w:rsidRDefault="00FA1443" w:rsidP="00C02370">
      <w:pPr>
        <w:rPr>
          <w:b/>
          <w:u w:val="single"/>
          <w:lang w:val="en-US"/>
        </w:rPr>
      </w:pPr>
      <w:r w:rsidRPr="00FA1443">
        <w:rPr>
          <w:rFonts w:hint="eastAsia"/>
          <w:b/>
          <w:u w:val="single"/>
          <w:lang w:val="en-US"/>
        </w:rPr>
        <w:t>A</w:t>
      </w:r>
      <w:r w:rsidRPr="00FA1443">
        <w:rPr>
          <w:b/>
          <w:u w:val="single"/>
          <w:lang w:val="en-US"/>
        </w:rPr>
        <w:t xml:space="preserve">daptation of </w:t>
      </w:r>
      <w:r w:rsidR="008C0E9A">
        <w:rPr>
          <w:b/>
          <w:u w:val="single"/>
          <w:lang w:val="en-US"/>
        </w:rPr>
        <w:t>PO resource pattern</w:t>
      </w:r>
    </w:p>
    <w:p w14:paraId="51AA893B" w14:textId="4880A338" w:rsidR="004529F9" w:rsidRDefault="008C0E9A" w:rsidP="00C02370">
      <w:pPr>
        <w:rPr>
          <w:lang w:val="en-US"/>
        </w:rPr>
      </w:pPr>
      <w:r>
        <w:rPr>
          <w:lang w:val="en-US"/>
        </w:rPr>
        <w:t>Once a new PO resource pattern is introduced,</w:t>
      </w:r>
      <w:r w:rsidR="009C1AE1">
        <w:rPr>
          <w:lang w:val="en-US"/>
        </w:rPr>
        <w:t xml:space="preserve"> a serving cell may </w:t>
      </w:r>
      <w:r w:rsidR="00EF0CE1">
        <w:rPr>
          <w:lang w:val="en-US"/>
        </w:rPr>
        <w:t xml:space="preserve">transmit the paging messages </w:t>
      </w:r>
      <w:r w:rsidR="00061DA8">
        <w:rPr>
          <w:lang w:val="en-US"/>
        </w:rPr>
        <w:t>using</w:t>
      </w:r>
      <w:r w:rsidR="004529F9">
        <w:rPr>
          <w:lang w:val="en-US"/>
        </w:rPr>
        <w:t xml:space="preserve"> either the legacy or new (or both legacy and new) resources depending on situation. </w:t>
      </w:r>
      <w:r w:rsidR="00FB5D86">
        <w:rPr>
          <w:lang w:val="en-US"/>
        </w:rPr>
        <w:t xml:space="preserve">To this end, the PO adaptation </w:t>
      </w:r>
      <w:r w:rsidR="00D72457">
        <w:rPr>
          <w:lang w:val="en-US"/>
        </w:rPr>
        <w:t>should be possible</w:t>
      </w:r>
      <w:r w:rsidR="000715F7">
        <w:rPr>
          <w:lang w:val="en-US"/>
        </w:rPr>
        <w:t xml:space="preserve"> </w:t>
      </w:r>
      <w:r w:rsidR="00FB5D86">
        <w:rPr>
          <w:lang w:val="en-US"/>
        </w:rPr>
        <w:t xml:space="preserve">from </w:t>
      </w:r>
      <w:r w:rsidR="000715F7">
        <w:rPr>
          <w:lang w:val="en-US"/>
        </w:rPr>
        <w:t xml:space="preserve">a UE perspective </w:t>
      </w:r>
      <w:r w:rsidR="00D72457">
        <w:rPr>
          <w:lang w:val="en-US"/>
        </w:rPr>
        <w:t xml:space="preserve">as well </w:t>
      </w:r>
      <w:r w:rsidR="000715F7">
        <w:rPr>
          <w:lang w:val="en-US"/>
        </w:rPr>
        <w:t xml:space="preserve">(for Rel-19 NES-capable UEs). </w:t>
      </w:r>
      <w:r w:rsidR="004529F9">
        <w:rPr>
          <w:lang w:val="en-US"/>
        </w:rPr>
        <w:t xml:space="preserve">Considering that </w:t>
      </w:r>
      <w:r w:rsidR="00061DA8">
        <w:rPr>
          <w:lang w:val="en-US"/>
        </w:rPr>
        <w:t xml:space="preserve">all the UEs in </w:t>
      </w:r>
      <w:r w:rsidR="004529F9">
        <w:rPr>
          <w:lang w:val="en-US"/>
        </w:rPr>
        <w:t xml:space="preserve">RRC idle, inactive, </w:t>
      </w:r>
      <w:r w:rsidR="00061DA8">
        <w:rPr>
          <w:lang w:val="en-US"/>
        </w:rPr>
        <w:t>and</w:t>
      </w:r>
      <w:r w:rsidR="004529F9">
        <w:rPr>
          <w:lang w:val="en-US"/>
        </w:rPr>
        <w:t xml:space="preserve"> connected mode</w:t>
      </w:r>
      <w:r w:rsidR="00061DA8">
        <w:rPr>
          <w:lang w:val="en-US"/>
        </w:rPr>
        <w:t>s</w:t>
      </w:r>
      <w:r w:rsidR="000715F7">
        <w:rPr>
          <w:lang w:val="en-US"/>
        </w:rPr>
        <w:t xml:space="preserve"> monitor the PO</w:t>
      </w:r>
      <w:r w:rsidR="00F173DF">
        <w:rPr>
          <w:lang w:val="en-US"/>
        </w:rPr>
        <w:t>s</w:t>
      </w:r>
      <w:r w:rsidR="004529F9">
        <w:rPr>
          <w:lang w:val="en-US"/>
        </w:rPr>
        <w:t xml:space="preserve">, </w:t>
      </w:r>
      <w:r w:rsidR="00061DA8">
        <w:rPr>
          <w:lang w:val="en-US"/>
        </w:rPr>
        <w:t>it may be adequate to use a common DCI for the PO adaptation indication. For example, a new common DCI</w:t>
      </w:r>
      <w:r w:rsidR="000715F7">
        <w:rPr>
          <w:lang w:val="en-US"/>
        </w:rPr>
        <w:t>,</w:t>
      </w:r>
      <w:r w:rsidR="00061DA8">
        <w:rPr>
          <w:lang w:val="en-US"/>
        </w:rPr>
        <w:t xml:space="preserve"> or the paging DCI </w:t>
      </w:r>
      <w:r w:rsidR="00F173DF">
        <w:rPr>
          <w:lang w:val="en-US"/>
        </w:rPr>
        <w:t xml:space="preserve">(i.e., P-RNTI) </w:t>
      </w:r>
      <w:r w:rsidR="00061DA8">
        <w:rPr>
          <w:lang w:val="en-US"/>
        </w:rPr>
        <w:t>may be used to indicate the PO resource pattern to use, or a paging mode.</w:t>
      </w:r>
    </w:p>
    <w:p w14:paraId="799DAF9D" w14:textId="1B8EB9C5" w:rsidR="004529F9" w:rsidRPr="00061DA8" w:rsidRDefault="00061DA8" w:rsidP="00C02370">
      <w:pPr>
        <w:rPr>
          <w:b/>
          <w:lang w:val="en-US"/>
        </w:rPr>
      </w:pPr>
      <w:r w:rsidRPr="00061DA8">
        <w:rPr>
          <w:rFonts w:hint="eastAsia"/>
          <w:b/>
          <w:lang w:val="en-US"/>
        </w:rPr>
        <w:t>P</w:t>
      </w:r>
      <w:r w:rsidRPr="00061DA8">
        <w:rPr>
          <w:b/>
          <w:lang w:val="en-US"/>
        </w:rPr>
        <w:t xml:space="preserve">roposal 2: </w:t>
      </w:r>
      <w:r w:rsidR="000715F7">
        <w:rPr>
          <w:b/>
          <w:lang w:val="en-US"/>
        </w:rPr>
        <w:t>PO (e.g., PO resource pattern, paging mode, etc.)</w:t>
      </w:r>
      <w:r w:rsidRPr="00061DA8">
        <w:rPr>
          <w:b/>
          <w:lang w:val="en-US"/>
        </w:rPr>
        <w:t xml:space="preserve"> can be dynamically adapted based on </w:t>
      </w:r>
      <w:r w:rsidR="000715F7">
        <w:rPr>
          <w:b/>
          <w:lang w:val="en-US"/>
        </w:rPr>
        <w:t xml:space="preserve">a common </w:t>
      </w:r>
      <w:r w:rsidRPr="00061DA8">
        <w:rPr>
          <w:b/>
          <w:lang w:val="en-US"/>
        </w:rPr>
        <w:t>DCI.</w:t>
      </w:r>
    </w:p>
    <w:p w14:paraId="3BB7CC79" w14:textId="23B26AE1" w:rsidR="00061DA8" w:rsidRPr="00061DA8" w:rsidRDefault="00061DA8" w:rsidP="00C02370">
      <w:pPr>
        <w:rPr>
          <w:rFonts w:hint="eastAsia"/>
          <w:b/>
          <w:lang w:val="en-US"/>
        </w:rPr>
      </w:pPr>
      <w:r w:rsidRPr="00061DA8">
        <w:rPr>
          <w:rFonts w:hint="eastAsia"/>
          <w:b/>
          <w:lang w:val="en-US"/>
        </w:rPr>
        <w:t>P</w:t>
      </w:r>
      <w:r w:rsidRPr="00061DA8">
        <w:rPr>
          <w:b/>
          <w:lang w:val="en-US"/>
        </w:rPr>
        <w:t>roposal 3: A new common DCI or the paging DCI can be used for the paging adaptation.</w:t>
      </w:r>
    </w:p>
    <w:p w14:paraId="5F963FBF" w14:textId="22185BDA" w:rsidR="00FA1443" w:rsidRDefault="00FA1443" w:rsidP="00C02370">
      <w:pPr>
        <w:rPr>
          <w:lang w:val="en-US"/>
        </w:rPr>
      </w:pPr>
    </w:p>
    <w:p w14:paraId="1B888F64" w14:textId="7B90ED42" w:rsidR="00FA1443" w:rsidRPr="00FA1443" w:rsidRDefault="00FA1443" w:rsidP="00C02370">
      <w:pPr>
        <w:rPr>
          <w:b/>
          <w:u w:val="single"/>
          <w:lang w:val="en-US"/>
        </w:rPr>
      </w:pPr>
      <w:r w:rsidRPr="00FA1443">
        <w:rPr>
          <w:b/>
          <w:u w:val="single"/>
          <w:lang w:val="en-US"/>
        </w:rPr>
        <w:t>Time domain adaptation of SSB and PRACH</w:t>
      </w:r>
    </w:p>
    <w:p w14:paraId="3404C7B8" w14:textId="684B7883" w:rsidR="00FA1443" w:rsidRDefault="000715F7" w:rsidP="00475E3B">
      <w:pPr>
        <w:rPr>
          <w:lang w:val="en-US"/>
        </w:rPr>
      </w:pPr>
      <w:r>
        <w:rPr>
          <w:rFonts w:hint="eastAsia"/>
          <w:lang w:val="en-US"/>
        </w:rPr>
        <w:t>S</w:t>
      </w:r>
      <w:r>
        <w:rPr>
          <w:lang w:val="en-US"/>
        </w:rPr>
        <w:t xml:space="preserve">imilar to the paging adaptation, time domain adaptation of SSB and PRACH can also be considered for the NES operation. For example, </w:t>
      </w:r>
      <w:r w:rsidR="00586E79">
        <w:rPr>
          <w:lang w:val="en-US"/>
        </w:rPr>
        <w:t xml:space="preserve">a serving cell may dynamically or semi-statically change </w:t>
      </w:r>
      <w:r>
        <w:rPr>
          <w:lang w:val="en-US"/>
        </w:rPr>
        <w:t xml:space="preserve">the periodicity or resource pattern </w:t>
      </w:r>
      <w:r w:rsidR="00586E79">
        <w:rPr>
          <w:lang w:val="en-US"/>
        </w:rPr>
        <w:t>of SSB and PRACH according to the needs of NES operation</w:t>
      </w:r>
      <w:r>
        <w:rPr>
          <w:lang w:val="en-US"/>
        </w:rPr>
        <w:t xml:space="preserve">. For more efficient power </w:t>
      </w:r>
      <w:r w:rsidR="00475E3B">
        <w:rPr>
          <w:lang w:val="en-US"/>
        </w:rPr>
        <w:t>use, the adaptation may cover longer periodicity values</w:t>
      </w:r>
      <w:r w:rsidR="00586E79">
        <w:rPr>
          <w:lang w:val="en-US"/>
        </w:rPr>
        <w:t>,</w:t>
      </w:r>
      <w:r w:rsidR="00475E3B">
        <w:rPr>
          <w:lang w:val="en-US"/>
        </w:rPr>
        <w:t xml:space="preserve"> new </w:t>
      </w:r>
      <w:r w:rsidR="00586E79">
        <w:rPr>
          <w:lang w:val="en-US"/>
        </w:rPr>
        <w:t>time domain</w:t>
      </w:r>
      <w:r w:rsidR="00475E3B">
        <w:rPr>
          <w:lang w:val="en-US"/>
        </w:rPr>
        <w:t xml:space="preserve"> pattern</w:t>
      </w:r>
      <w:r w:rsidR="00586E79">
        <w:rPr>
          <w:lang w:val="en-US"/>
        </w:rPr>
        <w:t>s</w:t>
      </w:r>
      <w:r w:rsidR="00475E3B">
        <w:rPr>
          <w:lang w:val="en-US"/>
        </w:rPr>
        <w:t xml:space="preserve"> further confined in </w:t>
      </w:r>
      <w:proofErr w:type="gramStart"/>
      <w:r w:rsidR="00475E3B">
        <w:rPr>
          <w:lang w:val="en-US"/>
        </w:rPr>
        <w:t>less</w:t>
      </w:r>
      <w:proofErr w:type="gramEnd"/>
      <w:r w:rsidR="00475E3B">
        <w:rPr>
          <w:lang w:val="en-US"/>
        </w:rPr>
        <w:t xml:space="preserve"> number of slots, etc. However, if a serving cell transmits the SSB </w:t>
      </w:r>
      <w:r w:rsidR="00201E22">
        <w:rPr>
          <w:lang w:val="en-US"/>
        </w:rPr>
        <w:t xml:space="preserve">or monitors the PRACH </w:t>
      </w:r>
      <w:r w:rsidR="00475E3B">
        <w:rPr>
          <w:lang w:val="en-US"/>
        </w:rPr>
        <w:t xml:space="preserve">based only on such new periodicities/patterns, the legacy UE’s measurement accuracy </w:t>
      </w:r>
      <w:r w:rsidR="00201E22">
        <w:rPr>
          <w:lang w:val="en-US"/>
        </w:rPr>
        <w:t xml:space="preserve">or </w:t>
      </w:r>
      <w:proofErr w:type="gramStart"/>
      <w:r w:rsidR="00201E22">
        <w:rPr>
          <w:lang w:val="en-US"/>
        </w:rPr>
        <w:t>random access</w:t>
      </w:r>
      <w:proofErr w:type="gramEnd"/>
      <w:r w:rsidR="00201E22">
        <w:rPr>
          <w:lang w:val="en-US"/>
        </w:rPr>
        <w:t xml:space="preserve"> performance </w:t>
      </w:r>
      <w:r w:rsidR="00475E3B">
        <w:rPr>
          <w:lang w:val="en-US"/>
        </w:rPr>
        <w:t>would be deteriorated. A</w:t>
      </w:r>
      <w:r w:rsidR="00CB6471">
        <w:rPr>
          <w:lang w:val="en-US"/>
        </w:rPr>
        <w:t xml:space="preserve">ccording to the WID, the adaptation of common signals/channels should not make a negative impact to legacy UEs unless significant benefits are shown. </w:t>
      </w:r>
      <w:r w:rsidR="00201E22">
        <w:rPr>
          <w:lang w:val="en-US"/>
        </w:rPr>
        <w:t>Future discussions need to focus on how to deal with the legacy impact in enhancing the SSB/PRACH.</w:t>
      </w:r>
    </w:p>
    <w:p w14:paraId="0219EE3C" w14:textId="3ECBFBEA" w:rsidR="00FA1443" w:rsidRDefault="00201E22" w:rsidP="00C02370">
      <w:pPr>
        <w:rPr>
          <w:b/>
          <w:lang w:val="en-US"/>
        </w:rPr>
      </w:pPr>
      <w:r w:rsidRPr="00201E22">
        <w:rPr>
          <w:rFonts w:hint="eastAsia"/>
          <w:b/>
          <w:lang w:val="en-US"/>
        </w:rPr>
        <w:t>O</w:t>
      </w:r>
      <w:r w:rsidRPr="00201E22">
        <w:rPr>
          <w:b/>
          <w:lang w:val="en-US"/>
        </w:rPr>
        <w:t>bservation 1: I</w:t>
      </w:r>
      <w:r w:rsidRPr="00201E22">
        <w:rPr>
          <w:b/>
          <w:lang w:val="en-US"/>
        </w:rPr>
        <w:t xml:space="preserve">f a serving cell transmits the SSB or monitors the PRACH based only on new periodicities/patterns, the legacy UE’s measurement accuracy or </w:t>
      </w:r>
      <w:proofErr w:type="gramStart"/>
      <w:r w:rsidRPr="00201E22">
        <w:rPr>
          <w:b/>
          <w:lang w:val="en-US"/>
        </w:rPr>
        <w:t>random access</w:t>
      </w:r>
      <w:proofErr w:type="gramEnd"/>
      <w:r w:rsidRPr="00201E22">
        <w:rPr>
          <w:b/>
          <w:lang w:val="en-US"/>
        </w:rPr>
        <w:t xml:space="preserve"> performance would be deteriorated</w:t>
      </w:r>
      <w:r w:rsidRPr="00201E22">
        <w:rPr>
          <w:b/>
          <w:lang w:val="en-US"/>
        </w:rPr>
        <w:t>.</w:t>
      </w:r>
    </w:p>
    <w:p w14:paraId="328C16C7" w14:textId="7D47D801" w:rsidR="00201E22" w:rsidRPr="00201E22" w:rsidRDefault="00201E22" w:rsidP="00C02370">
      <w:pPr>
        <w:rPr>
          <w:rFonts w:hint="eastAsia"/>
          <w:b/>
          <w:lang w:val="en-US"/>
        </w:rPr>
      </w:pPr>
      <w:r>
        <w:rPr>
          <w:rFonts w:hint="eastAsia"/>
          <w:b/>
          <w:lang w:val="en-US"/>
        </w:rPr>
        <w:t>P</w:t>
      </w:r>
      <w:r>
        <w:rPr>
          <w:b/>
          <w:lang w:val="en-US"/>
        </w:rPr>
        <w:t xml:space="preserve">roposal 4: Discuss how to deal with the legacy impact </w:t>
      </w:r>
      <w:r w:rsidR="00586E79">
        <w:rPr>
          <w:b/>
          <w:lang w:val="en-US"/>
        </w:rPr>
        <w:t>in</w:t>
      </w:r>
      <w:r>
        <w:rPr>
          <w:b/>
          <w:lang w:val="en-US"/>
        </w:rPr>
        <w:t xml:space="preserve"> enhancements on SSB/PRACH time domain adaptation.</w:t>
      </w:r>
    </w:p>
    <w:p w14:paraId="3471EA68" w14:textId="77777777" w:rsidR="00201E22" w:rsidRPr="00996037" w:rsidRDefault="00201E22" w:rsidP="00C02370">
      <w:pPr>
        <w:rPr>
          <w:rFonts w:hint="eastAsia"/>
          <w:lang w:val="en-US"/>
        </w:rPr>
      </w:pPr>
    </w:p>
    <w:p w14:paraId="4070FC0B" w14:textId="0A88BA80" w:rsidR="00F613CD" w:rsidRPr="009D67ED" w:rsidRDefault="00EC5F3B" w:rsidP="00C02370">
      <w:pPr>
        <w:pStyle w:val="1"/>
      </w:pPr>
      <w:r>
        <w:t>Conclusion</w:t>
      </w:r>
    </w:p>
    <w:p w14:paraId="575B676B" w14:textId="505413E7" w:rsidR="005E7123" w:rsidRPr="00523F3A" w:rsidRDefault="000E0B10" w:rsidP="00A63B48">
      <w:pPr>
        <w:rPr>
          <w:b/>
        </w:rPr>
      </w:pPr>
      <w:r w:rsidRPr="006C03B2">
        <w:rPr>
          <w:rFonts w:hint="eastAsia"/>
        </w:rPr>
        <w:t>In this contribution,</w:t>
      </w:r>
      <w:r w:rsidR="00201E22">
        <w:t xml:space="preserve"> we discuss our initial view on potential enhancements for time domain adaptation of SSB, PRACH, and paging. The following observation and proposals are noted.</w:t>
      </w:r>
    </w:p>
    <w:p w14:paraId="3C667657" w14:textId="77777777" w:rsidR="00201E22" w:rsidRDefault="00201E22" w:rsidP="00201E22">
      <w:pPr>
        <w:rPr>
          <w:b/>
          <w:lang w:val="en-US"/>
        </w:rPr>
      </w:pPr>
      <w:r w:rsidRPr="00201E22">
        <w:rPr>
          <w:rFonts w:hint="eastAsia"/>
          <w:b/>
          <w:lang w:val="en-US"/>
        </w:rPr>
        <w:t>O</w:t>
      </w:r>
      <w:r w:rsidRPr="00201E22">
        <w:rPr>
          <w:b/>
          <w:lang w:val="en-US"/>
        </w:rPr>
        <w:t xml:space="preserve">bservation 1: If a serving cell transmits the SSB or monitors the PRACH based only on new periodicities/patterns, the legacy UE’s measurement accuracy or </w:t>
      </w:r>
      <w:proofErr w:type="gramStart"/>
      <w:r w:rsidRPr="00201E22">
        <w:rPr>
          <w:b/>
          <w:lang w:val="en-US"/>
        </w:rPr>
        <w:t>random access</w:t>
      </w:r>
      <w:proofErr w:type="gramEnd"/>
      <w:r w:rsidRPr="00201E22">
        <w:rPr>
          <w:b/>
          <w:lang w:val="en-US"/>
        </w:rPr>
        <w:t xml:space="preserve"> performance would be deteriorated.</w:t>
      </w:r>
    </w:p>
    <w:p w14:paraId="66328ACF" w14:textId="77777777" w:rsidR="00201E22" w:rsidRDefault="00201E22" w:rsidP="009308E9">
      <w:pPr>
        <w:spacing w:after="60"/>
        <w:rPr>
          <w:b/>
          <w:lang w:val="en-US"/>
        </w:rPr>
      </w:pPr>
    </w:p>
    <w:p w14:paraId="6AD10062" w14:textId="41D6BD8C" w:rsidR="009308E9" w:rsidRDefault="009308E9" w:rsidP="009308E9">
      <w:pPr>
        <w:spacing w:after="60"/>
        <w:rPr>
          <w:b/>
        </w:rPr>
      </w:pPr>
      <w:r w:rsidRPr="00CE527B">
        <w:rPr>
          <w:rFonts w:hint="eastAsia"/>
          <w:b/>
        </w:rPr>
        <w:t>P</w:t>
      </w:r>
      <w:r w:rsidRPr="00CE527B">
        <w:rPr>
          <w:b/>
        </w:rPr>
        <w:t>roposal 1:</w:t>
      </w:r>
      <w:r>
        <w:rPr>
          <w:b/>
        </w:rPr>
        <w:t xml:space="preserve"> Consider the following alternatives to localize the paging resources in time:</w:t>
      </w:r>
    </w:p>
    <w:p w14:paraId="6F08B07A" w14:textId="77777777" w:rsidR="009308E9" w:rsidRPr="009308E9" w:rsidRDefault="009308E9" w:rsidP="009308E9">
      <w:pPr>
        <w:pStyle w:val="a4"/>
        <w:widowControl/>
        <w:numPr>
          <w:ilvl w:val="0"/>
          <w:numId w:val="46"/>
        </w:numPr>
        <w:overflowPunct w:val="0"/>
        <w:adjustRightInd w:val="0"/>
        <w:spacing w:after="60"/>
        <w:ind w:leftChars="0"/>
        <w:jc w:val="left"/>
        <w:textAlignment w:val="baseline"/>
        <w:rPr>
          <w:rFonts w:eastAsiaTheme="minorEastAsia"/>
          <w:b/>
        </w:rPr>
      </w:pPr>
      <w:r w:rsidRPr="009308E9">
        <w:rPr>
          <w:rFonts w:eastAsiaTheme="minorEastAsia" w:hint="eastAsia"/>
          <w:b/>
        </w:rPr>
        <w:t>A</w:t>
      </w:r>
      <w:r w:rsidRPr="009308E9">
        <w:rPr>
          <w:rFonts w:eastAsiaTheme="minorEastAsia"/>
          <w:b/>
        </w:rPr>
        <w:t>lt. 1: Allocate POs in a single radio frame or a set of consecutive radio frames</w:t>
      </w:r>
    </w:p>
    <w:p w14:paraId="60AA51E6" w14:textId="08E10984" w:rsidR="00C274BF" w:rsidRPr="000715F7" w:rsidRDefault="009308E9" w:rsidP="00C059B9">
      <w:pPr>
        <w:pStyle w:val="a4"/>
        <w:widowControl/>
        <w:numPr>
          <w:ilvl w:val="0"/>
          <w:numId w:val="46"/>
        </w:numPr>
        <w:overflowPunct w:val="0"/>
        <w:adjustRightInd w:val="0"/>
        <w:ind w:leftChars="0" w:left="806" w:hanging="403"/>
        <w:jc w:val="left"/>
        <w:textAlignment w:val="baseline"/>
        <w:rPr>
          <w:rFonts w:eastAsiaTheme="minorEastAsia" w:hint="eastAsia"/>
          <w:b/>
        </w:rPr>
      </w:pPr>
      <w:r w:rsidRPr="009308E9">
        <w:rPr>
          <w:rFonts w:eastAsiaTheme="minorEastAsia" w:hint="eastAsia"/>
          <w:b/>
        </w:rPr>
        <w:t>A</w:t>
      </w:r>
      <w:r w:rsidRPr="009308E9">
        <w:rPr>
          <w:rFonts w:eastAsiaTheme="minorEastAsia"/>
          <w:b/>
        </w:rPr>
        <w:t>lt. 2: Reuse Type 0 PDCCH CSS set for paging</w:t>
      </w:r>
    </w:p>
    <w:p w14:paraId="5BEAD8B6" w14:textId="77777777" w:rsidR="000715F7" w:rsidRPr="00061DA8" w:rsidRDefault="000715F7" w:rsidP="000715F7">
      <w:pPr>
        <w:rPr>
          <w:b/>
          <w:lang w:val="en-US"/>
        </w:rPr>
      </w:pPr>
      <w:r w:rsidRPr="00061DA8">
        <w:rPr>
          <w:rFonts w:hint="eastAsia"/>
          <w:b/>
          <w:lang w:val="en-US"/>
        </w:rPr>
        <w:t>P</w:t>
      </w:r>
      <w:r w:rsidRPr="00061DA8">
        <w:rPr>
          <w:b/>
          <w:lang w:val="en-US"/>
        </w:rPr>
        <w:t xml:space="preserve">roposal 2: </w:t>
      </w:r>
      <w:r>
        <w:rPr>
          <w:b/>
          <w:lang w:val="en-US"/>
        </w:rPr>
        <w:t>PO (e.g., PO resource pattern, paging mode, etc.)</w:t>
      </w:r>
      <w:r w:rsidRPr="00061DA8">
        <w:rPr>
          <w:b/>
          <w:lang w:val="en-US"/>
        </w:rPr>
        <w:t xml:space="preserve"> can be dynamically adapted based on </w:t>
      </w:r>
      <w:r>
        <w:rPr>
          <w:b/>
          <w:lang w:val="en-US"/>
        </w:rPr>
        <w:t xml:space="preserve">a common </w:t>
      </w:r>
      <w:r w:rsidRPr="00061DA8">
        <w:rPr>
          <w:b/>
          <w:lang w:val="en-US"/>
        </w:rPr>
        <w:t>DCI.</w:t>
      </w:r>
    </w:p>
    <w:p w14:paraId="5B88AE5C" w14:textId="77777777" w:rsidR="000715F7" w:rsidRPr="00061DA8" w:rsidRDefault="000715F7" w:rsidP="000715F7">
      <w:pPr>
        <w:rPr>
          <w:rFonts w:hint="eastAsia"/>
          <w:b/>
          <w:lang w:val="en-US"/>
        </w:rPr>
      </w:pPr>
      <w:r w:rsidRPr="00061DA8">
        <w:rPr>
          <w:rFonts w:hint="eastAsia"/>
          <w:b/>
          <w:lang w:val="en-US"/>
        </w:rPr>
        <w:lastRenderedPageBreak/>
        <w:t>P</w:t>
      </w:r>
      <w:r w:rsidRPr="00061DA8">
        <w:rPr>
          <w:b/>
          <w:lang w:val="en-US"/>
        </w:rPr>
        <w:t>roposal 3: A new common DCI or the paging DCI can be used for the paging adaptation.</w:t>
      </w:r>
    </w:p>
    <w:p w14:paraId="47E93312" w14:textId="77777777" w:rsidR="00586E79" w:rsidRPr="00201E22" w:rsidRDefault="00586E79" w:rsidP="00586E79">
      <w:pPr>
        <w:rPr>
          <w:rFonts w:hint="eastAsia"/>
          <w:b/>
          <w:lang w:val="en-US"/>
        </w:rPr>
      </w:pPr>
      <w:r>
        <w:rPr>
          <w:rFonts w:hint="eastAsia"/>
          <w:b/>
          <w:lang w:val="en-US"/>
        </w:rPr>
        <w:t>P</w:t>
      </w:r>
      <w:r>
        <w:rPr>
          <w:b/>
          <w:lang w:val="en-US"/>
        </w:rPr>
        <w:t>roposal 4: Discuss how to deal with the legacy impact in enhancements on SSB/PRACH time domain adaptation.</w:t>
      </w:r>
    </w:p>
    <w:p w14:paraId="13526B4B" w14:textId="77777777" w:rsidR="000715F7" w:rsidRPr="00586E79" w:rsidRDefault="000715F7" w:rsidP="00C059B9">
      <w:pPr>
        <w:rPr>
          <w:rFonts w:hint="eastAsia"/>
          <w:lang w:val="en-US"/>
        </w:rPr>
      </w:pPr>
    </w:p>
    <w:p w14:paraId="2A04AB50" w14:textId="77777777" w:rsidR="00491D04" w:rsidRPr="00A75F19" w:rsidRDefault="00491D04" w:rsidP="00C02370">
      <w:pPr>
        <w:pStyle w:val="1"/>
      </w:pPr>
      <w:r w:rsidRPr="00A75F19">
        <w:t>References</w:t>
      </w:r>
    </w:p>
    <w:p w14:paraId="28FD0FF8" w14:textId="448C6820" w:rsidR="00C8089A" w:rsidRPr="00916823" w:rsidRDefault="00916823" w:rsidP="00916823">
      <w:pPr>
        <w:spacing w:after="60"/>
        <w:rPr>
          <w:rFonts w:hint="eastAsia"/>
        </w:rPr>
      </w:pPr>
      <w:r>
        <w:rPr>
          <w:rFonts w:hint="eastAsia"/>
        </w:rPr>
        <w:t>[</w:t>
      </w:r>
      <w:r>
        <w:t>1] RP-234065, “</w:t>
      </w:r>
      <w:r w:rsidRPr="00295955">
        <w:t>New WID: Enhancements of network energy savings for NR</w:t>
      </w:r>
      <w:r>
        <w:t>,” Ericsson (Moderator), RAN#102.</w:t>
      </w:r>
      <w:bookmarkStart w:id="4" w:name="_GoBack"/>
      <w:bookmarkEnd w:id="4"/>
    </w:p>
    <w:sectPr w:rsidR="00C8089A" w:rsidRPr="00916823" w:rsidSect="00260FD7">
      <w:footerReference w:type="default" r:id="rId11"/>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0E419" w14:textId="77777777" w:rsidR="00410ED0" w:rsidRDefault="00410ED0" w:rsidP="00C02370">
      <w:r>
        <w:separator/>
      </w:r>
    </w:p>
    <w:p w14:paraId="62AB36E5" w14:textId="77777777" w:rsidR="00410ED0" w:rsidRDefault="00410ED0" w:rsidP="00C02370"/>
  </w:endnote>
  <w:endnote w:type="continuationSeparator" w:id="0">
    <w:p w14:paraId="299B1301" w14:textId="77777777" w:rsidR="00410ED0" w:rsidRDefault="00410ED0" w:rsidP="00C02370">
      <w:r>
        <w:continuationSeparator/>
      </w:r>
    </w:p>
    <w:p w14:paraId="3D34DA04" w14:textId="77777777" w:rsidR="00410ED0" w:rsidRDefault="00410ED0"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410ED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CE61B" w14:textId="77777777" w:rsidR="00410ED0" w:rsidRDefault="00410ED0" w:rsidP="00C02370">
      <w:r>
        <w:separator/>
      </w:r>
    </w:p>
    <w:p w14:paraId="5F94918B" w14:textId="77777777" w:rsidR="00410ED0" w:rsidRDefault="00410ED0" w:rsidP="00C02370"/>
  </w:footnote>
  <w:footnote w:type="continuationSeparator" w:id="0">
    <w:p w14:paraId="6163B253" w14:textId="77777777" w:rsidR="00410ED0" w:rsidRDefault="00410ED0" w:rsidP="00C02370">
      <w:r>
        <w:continuationSeparator/>
      </w:r>
    </w:p>
    <w:p w14:paraId="48BD0287" w14:textId="77777777" w:rsidR="00410ED0" w:rsidRDefault="00410ED0"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64965"/>
    <w:multiLevelType w:val="hybridMultilevel"/>
    <w:tmpl w:val="C73A7920"/>
    <w:lvl w:ilvl="0" w:tplc="04090001">
      <w:start w:val="1"/>
      <w:numFmt w:val="bullet"/>
      <w:lvlText w:val=""/>
      <w:lvlJc w:val="left"/>
      <w:pPr>
        <w:ind w:left="800" w:hanging="400"/>
      </w:pPr>
      <w:rPr>
        <w:rFonts w:ascii="Symbol" w:hAnsi="Symbol"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1467E"/>
    <w:multiLevelType w:val="hybridMultilevel"/>
    <w:tmpl w:val="077A32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F47AC"/>
    <w:multiLevelType w:val="hybridMultilevel"/>
    <w:tmpl w:val="8ADEFEF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AAD0A25"/>
    <w:multiLevelType w:val="hybridMultilevel"/>
    <w:tmpl w:val="D3F295D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CD4110"/>
    <w:multiLevelType w:val="hybridMultilevel"/>
    <w:tmpl w:val="9370A77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D623CE"/>
    <w:multiLevelType w:val="hybridMultilevel"/>
    <w:tmpl w:val="8E4C7542"/>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2F4736D"/>
    <w:multiLevelType w:val="hybridMultilevel"/>
    <w:tmpl w:val="F0908E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973A55"/>
    <w:multiLevelType w:val="hybridMultilevel"/>
    <w:tmpl w:val="30440A10"/>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A365AC0"/>
    <w:multiLevelType w:val="hybridMultilevel"/>
    <w:tmpl w:val="8EF8565E"/>
    <w:lvl w:ilvl="0" w:tplc="04090003">
      <w:start w:val="1"/>
      <w:numFmt w:val="bullet"/>
      <w:lvlText w:val="o"/>
      <w:lvlJc w:val="left"/>
      <w:pPr>
        <w:ind w:left="760" w:hanging="36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F487E9F"/>
    <w:multiLevelType w:val="hybridMultilevel"/>
    <w:tmpl w:val="76366ACC"/>
    <w:lvl w:ilvl="0" w:tplc="04090003">
      <w:start w:val="1"/>
      <w:numFmt w:val="bullet"/>
      <w:lvlText w:val="o"/>
      <w:lvlJc w:val="left"/>
      <w:pPr>
        <w:ind w:left="800" w:hanging="400"/>
      </w:pPr>
      <w:rPr>
        <w:rFonts w:ascii="Courier New" w:hAnsi="Courier New" w:cs="Courier New"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193F"/>
    <w:multiLevelType w:val="hybridMultilevel"/>
    <w:tmpl w:val="6FC2E0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5052BD"/>
    <w:multiLevelType w:val="hybridMultilevel"/>
    <w:tmpl w:val="1B2E123C"/>
    <w:lvl w:ilvl="0" w:tplc="04090001">
      <w:start w:val="1"/>
      <w:numFmt w:val="bullet"/>
      <w:lvlText w:val=""/>
      <w:lvlJc w:val="left"/>
      <w:pPr>
        <w:ind w:left="800" w:hanging="400"/>
      </w:pPr>
      <w:rPr>
        <w:rFonts w:ascii="Symbol" w:hAnsi="Symbol" w:hint="default"/>
      </w:rPr>
    </w:lvl>
    <w:lvl w:ilvl="1" w:tplc="E376A72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1F0CEA"/>
    <w:multiLevelType w:val="hybridMultilevel"/>
    <w:tmpl w:val="252E9C5C"/>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FA77A08"/>
    <w:multiLevelType w:val="hybridMultilevel"/>
    <w:tmpl w:val="A0E63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1A7C9F"/>
    <w:multiLevelType w:val="hybridMultilevel"/>
    <w:tmpl w:val="C9E4C454"/>
    <w:lvl w:ilvl="0" w:tplc="04090003">
      <w:start w:val="1"/>
      <w:numFmt w:val="bullet"/>
      <w:lvlText w:val="o"/>
      <w:lvlJc w:val="left"/>
      <w:pPr>
        <w:ind w:left="800" w:hanging="400"/>
      </w:pPr>
      <w:rPr>
        <w:rFonts w:ascii="Courier New" w:hAnsi="Courier New" w:cs="Courier New"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5E107E"/>
    <w:multiLevelType w:val="hybridMultilevel"/>
    <w:tmpl w:val="583C64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D77D30"/>
    <w:multiLevelType w:val="hybridMultilevel"/>
    <w:tmpl w:val="E966B12C"/>
    <w:lvl w:ilvl="0" w:tplc="B5A8667A">
      <w:numFmt w:val="bullet"/>
      <w:lvlText w:val="-"/>
      <w:lvlJc w:val="left"/>
      <w:pPr>
        <w:ind w:left="760" w:hanging="360"/>
      </w:pPr>
      <w:rPr>
        <w:rFonts w:ascii="Times" w:eastAsia="바탕" w:hAnsi="Times" w:cs="Times" w:hint="default"/>
      </w:rPr>
    </w:lvl>
    <w:lvl w:ilvl="1" w:tplc="B5A8667A">
      <w:numFmt w:val="bullet"/>
      <w:lvlText w:val="-"/>
      <w:lvlJc w:val="left"/>
      <w:pPr>
        <w:ind w:left="1200" w:hanging="400"/>
      </w:pPr>
      <w:rPr>
        <w:rFonts w:ascii="Times" w:eastAsia="바탕"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632A7A"/>
    <w:multiLevelType w:val="hybridMultilevel"/>
    <w:tmpl w:val="1D966FD6"/>
    <w:lvl w:ilvl="0" w:tplc="24A8CB8A">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1"/>
  </w:num>
  <w:num w:numId="4">
    <w:abstractNumId w:val="43"/>
  </w:num>
  <w:num w:numId="5">
    <w:abstractNumId w:val="14"/>
  </w:num>
  <w:num w:numId="6">
    <w:abstractNumId w:val="40"/>
  </w:num>
  <w:num w:numId="7">
    <w:abstractNumId w:val="16"/>
  </w:num>
  <w:num w:numId="8">
    <w:abstractNumId w:val="8"/>
  </w:num>
  <w:num w:numId="9">
    <w:abstractNumId w:val="20"/>
  </w:num>
  <w:num w:numId="10">
    <w:abstractNumId w:val="45"/>
  </w:num>
  <w:num w:numId="11">
    <w:abstractNumId w:val="3"/>
  </w:num>
  <w:num w:numId="12">
    <w:abstractNumId w:val="36"/>
  </w:num>
  <w:num w:numId="13">
    <w:abstractNumId w:val="13"/>
  </w:num>
  <w:num w:numId="14">
    <w:abstractNumId w:val="47"/>
  </w:num>
  <w:num w:numId="15">
    <w:abstractNumId w:val="18"/>
  </w:num>
  <w:num w:numId="16">
    <w:abstractNumId w:val="39"/>
  </w:num>
  <w:num w:numId="17">
    <w:abstractNumId w:val="17"/>
  </w:num>
  <w:num w:numId="18">
    <w:abstractNumId w:val="38"/>
  </w:num>
  <w:num w:numId="19">
    <w:abstractNumId w:val="42"/>
  </w:num>
  <w:num w:numId="20">
    <w:abstractNumId w:val="19"/>
  </w:num>
  <w:num w:numId="21">
    <w:abstractNumId w:val="28"/>
  </w:num>
  <w:num w:numId="22">
    <w:abstractNumId w:val="12"/>
  </w:num>
  <w:num w:numId="23">
    <w:abstractNumId w:val="41"/>
  </w:num>
  <w:num w:numId="24">
    <w:abstractNumId w:val="44"/>
  </w:num>
  <w:num w:numId="25">
    <w:abstractNumId w:val="48"/>
  </w:num>
  <w:num w:numId="26">
    <w:abstractNumId w:val="6"/>
  </w:num>
  <w:num w:numId="27">
    <w:abstractNumId w:val="10"/>
  </w:num>
  <w:num w:numId="28">
    <w:abstractNumId w:val="34"/>
  </w:num>
  <w:num w:numId="29">
    <w:abstractNumId w:val="7"/>
  </w:num>
  <w:num w:numId="30">
    <w:abstractNumId w:val="32"/>
  </w:num>
  <w:num w:numId="31">
    <w:abstractNumId w:val="31"/>
  </w:num>
  <w:num w:numId="32">
    <w:abstractNumId w:val="35"/>
  </w:num>
  <w:num w:numId="33">
    <w:abstractNumId w:val="25"/>
  </w:num>
  <w:num w:numId="34">
    <w:abstractNumId w:val="24"/>
  </w:num>
  <w:num w:numId="35">
    <w:abstractNumId w:val="21"/>
  </w:num>
  <w:num w:numId="36">
    <w:abstractNumId w:val="37"/>
  </w:num>
  <w:num w:numId="37">
    <w:abstractNumId w:val="27"/>
  </w:num>
  <w:num w:numId="38">
    <w:abstractNumId w:val="26"/>
  </w:num>
  <w:num w:numId="39">
    <w:abstractNumId w:val="4"/>
  </w:num>
  <w:num w:numId="40">
    <w:abstractNumId w:val="23"/>
  </w:num>
  <w:num w:numId="41">
    <w:abstractNumId w:val="2"/>
  </w:num>
  <w:num w:numId="42">
    <w:abstractNumId w:val="30"/>
  </w:num>
  <w:num w:numId="43">
    <w:abstractNumId w:val="0"/>
  </w:num>
  <w:num w:numId="44">
    <w:abstractNumId w:val="33"/>
  </w:num>
  <w:num w:numId="45">
    <w:abstractNumId w:val="46"/>
  </w:num>
  <w:num w:numId="46">
    <w:abstractNumId w:val="29"/>
  </w:num>
  <w:num w:numId="47">
    <w:abstractNumId w:val="22"/>
  </w:num>
  <w:num w:numId="48">
    <w:abstractNumId w:val="15"/>
  </w:num>
  <w:num w:numId="4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DA8"/>
    <w:rsid w:val="00061F3F"/>
    <w:rsid w:val="000625AD"/>
    <w:rsid w:val="00062E35"/>
    <w:rsid w:val="00064899"/>
    <w:rsid w:val="00064FBC"/>
    <w:rsid w:val="0006554E"/>
    <w:rsid w:val="000657E6"/>
    <w:rsid w:val="00066CD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EE4"/>
    <w:rsid w:val="00084C2C"/>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5BC"/>
    <w:rsid w:val="000C4AC7"/>
    <w:rsid w:val="000C4DB8"/>
    <w:rsid w:val="000C596F"/>
    <w:rsid w:val="000C5B48"/>
    <w:rsid w:val="000C5E53"/>
    <w:rsid w:val="000C64EE"/>
    <w:rsid w:val="000C6E8A"/>
    <w:rsid w:val="000C7B3B"/>
    <w:rsid w:val="000D03B1"/>
    <w:rsid w:val="000D16EB"/>
    <w:rsid w:val="000D2027"/>
    <w:rsid w:val="000D24C6"/>
    <w:rsid w:val="000D2D59"/>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F08"/>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E0925"/>
    <w:rsid w:val="001E0CD7"/>
    <w:rsid w:val="001E10B9"/>
    <w:rsid w:val="001E115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C14"/>
    <w:rsid w:val="00243B97"/>
    <w:rsid w:val="002443A5"/>
    <w:rsid w:val="00244ADF"/>
    <w:rsid w:val="00245275"/>
    <w:rsid w:val="002455D6"/>
    <w:rsid w:val="00245701"/>
    <w:rsid w:val="00245749"/>
    <w:rsid w:val="0024583A"/>
    <w:rsid w:val="00246024"/>
    <w:rsid w:val="002461FB"/>
    <w:rsid w:val="00246DD6"/>
    <w:rsid w:val="00247131"/>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2EEF"/>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0E3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586"/>
    <w:rsid w:val="003619C1"/>
    <w:rsid w:val="00362181"/>
    <w:rsid w:val="003624F4"/>
    <w:rsid w:val="00362D9E"/>
    <w:rsid w:val="003636C1"/>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9F9"/>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DE6"/>
    <w:rsid w:val="004B4E2C"/>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9E"/>
    <w:rsid w:val="0054488E"/>
    <w:rsid w:val="00544CEC"/>
    <w:rsid w:val="0054573F"/>
    <w:rsid w:val="00545A8E"/>
    <w:rsid w:val="00545AEB"/>
    <w:rsid w:val="00545BC7"/>
    <w:rsid w:val="00546538"/>
    <w:rsid w:val="00546955"/>
    <w:rsid w:val="00546DAC"/>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317F"/>
    <w:rsid w:val="005B3345"/>
    <w:rsid w:val="005B349A"/>
    <w:rsid w:val="005B372B"/>
    <w:rsid w:val="005B3F03"/>
    <w:rsid w:val="005B3FA0"/>
    <w:rsid w:val="005B4077"/>
    <w:rsid w:val="005B45AC"/>
    <w:rsid w:val="005B47FA"/>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B79"/>
    <w:rsid w:val="005F7FFC"/>
    <w:rsid w:val="00600074"/>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6778E"/>
    <w:rsid w:val="006678C9"/>
    <w:rsid w:val="00670099"/>
    <w:rsid w:val="006707EC"/>
    <w:rsid w:val="006709EF"/>
    <w:rsid w:val="00671873"/>
    <w:rsid w:val="006720C8"/>
    <w:rsid w:val="00672937"/>
    <w:rsid w:val="00672E41"/>
    <w:rsid w:val="006739AA"/>
    <w:rsid w:val="00673E26"/>
    <w:rsid w:val="0067415B"/>
    <w:rsid w:val="00675053"/>
    <w:rsid w:val="006756BF"/>
    <w:rsid w:val="006756D4"/>
    <w:rsid w:val="00676530"/>
    <w:rsid w:val="00677F0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A8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202"/>
    <w:rsid w:val="00720813"/>
    <w:rsid w:val="0072096E"/>
    <w:rsid w:val="00721C6E"/>
    <w:rsid w:val="00721CCE"/>
    <w:rsid w:val="00721F9C"/>
    <w:rsid w:val="00722627"/>
    <w:rsid w:val="007230F5"/>
    <w:rsid w:val="00723F0B"/>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DE6"/>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C15"/>
    <w:rsid w:val="007A6CBF"/>
    <w:rsid w:val="007A7B9E"/>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8B"/>
    <w:rsid w:val="007C16F4"/>
    <w:rsid w:val="007C1A39"/>
    <w:rsid w:val="007C20FE"/>
    <w:rsid w:val="007C248C"/>
    <w:rsid w:val="007C2A38"/>
    <w:rsid w:val="007C4A64"/>
    <w:rsid w:val="007C4A6C"/>
    <w:rsid w:val="007C4CD9"/>
    <w:rsid w:val="007C620E"/>
    <w:rsid w:val="007C649D"/>
    <w:rsid w:val="007C6927"/>
    <w:rsid w:val="007C6B75"/>
    <w:rsid w:val="007C6BB3"/>
    <w:rsid w:val="007C74AC"/>
    <w:rsid w:val="007C74BA"/>
    <w:rsid w:val="007C74DD"/>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7625"/>
    <w:rsid w:val="00857EE5"/>
    <w:rsid w:val="008607DC"/>
    <w:rsid w:val="008608EF"/>
    <w:rsid w:val="00860E09"/>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EDB"/>
    <w:rsid w:val="008B03DB"/>
    <w:rsid w:val="008B197D"/>
    <w:rsid w:val="008B1C4D"/>
    <w:rsid w:val="008B1C72"/>
    <w:rsid w:val="008B2254"/>
    <w:rsid w:val="008B2811"/>
    <w:rsid w:val="008B318F"/>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9A"/>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F48"/>
    <w:rsid w:val="008E15DA"/>
    <w:rsid w:val="008E23C1"/>
    <w:rsid w:val="008E2DE3"/>
    <w:rsid w:val="008E2DEB"/>
    <w:rsid w:val="008E38D6"/>
    <w:rsid w:val="008E3E5D"/>
    <w:rsid w:val="008E422D"/>
    <w:rsid w:val="008E53A6"/>
    <w:rsid w:val="008E6D56"/>
    <w:rsid w:val="008E79AD"/>
    <w:rsid w:val="008E7A4C"/>
    <w:rsid w:val="008E7CB3"/>
    <w:rsid w:val="008F01E0"/>
    <w:rsid w:val="008F0202"/>
    <w:rsid w:val="008F039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058E"/>
    <w:rsid w:val="00911EA4"/>
    <w:rsid w:val="00912273"/>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BED"/>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737C"/>
    <w:rsid w:val="009575C6"/>
    <w:rsid w:val="00957BD9"/>
    <w:rsid w:val="00960815"/>
    <w:rsid w:val="00960E40"/>
    <w:rsid w:val="009614FF"/>
    <w:rsid w:val="00961D95"/>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1F2"/>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AE1"/>
    <w:rsid w:val="009C2B93"/>
    <w:rsid w:val="009C2DBE"/>
    <w:rsid w:val="009C2E01"/>
    <w:rsid w:val="009C32D5"/>
    <w:rsid w:val="009C385C"/>
    <w:rsid w:val="009C3A6E"/>
    <w:rsid w:val="009C430E"/>
    <w:rsid w:val="009C4532"/>
    <w:rsid w:val="009C556B"/>
    <w:rsid w:val="009C562F"/>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6B3"/>
    <w:rsid w:val="00A5498B"/>
    <w:rsid w:val="00A553F2"/>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3DAB"/>
    <w:rsid w:val="00AD48D9"/>
    <w:rsid w:val="00AD4CE5"/>
    <w:rsid w:val="00AD4EA8"/>
    <w:rsid w:val="00AD5252"/>
    <w:rsid w:val="00AD525F"/>
    <w:rsid w:val="00AD58F9"/>
    <w:rsid w:val="00AD6C90"/>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2203"/>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A87"/>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C3E"/>
    <w:rsid w:val="00B73607"/>
    <w:rsid w:val="00B747A0"/>
    <w:rsid w:val="00B753F6"/>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CB7"/>
    <w:rsid w:val="00C01E2A"/>
    <w:rsid w:val="00C0227A"/>
    <w:rsid w:val="00C02370"/>
    <w:rsid w:val="00C023BB"/>
    <w:rsid w:val="00C0252B"/>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35CB"/>
    <w:rsid w:val="00C135F6"/>
    <w:rsid w:val="00C139CC"/>
    <w:rsid w:val="00C14DAB"/>
    <w:rsid w:val="00C150ED"/>
    <w:rsid w:val="00C152C6"/>
    <w:rsid w:val="00C15C1F"/>
    <w:rsid w:val="00C15CF1"/>
    <w:rsid w:val="00C15D46"/>
    <w:rsid w:val="00C16F95"/>
    <w:rsid w:val="00C17A06"/>
    <w:rsid w:val="00C202B3"/>
    <w:rsid w:val="00C20525"/>
    <w:rsid w:val="00C20EDC"/>
    <w:rsid w:val="00C221BC"/>
    <w:rsid w:val="00C224E7"/>
    <w:rsid w:val="00C231EB"/>
    <w:rsid w:val="00C23532"/>
    <w:rsid w:val="00C23AC1"/>
    <w:rsid w:val="00C24274"/>
    <w:rsid w:val="00C2466A"/>
    <w:rsid w:val="00C247A2"/>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7283"/>
    <w:rsid w:val="00C37E5E"/>
    <w:rsid w:val="00C41079"/>
    <w:rsid w:val="00C415F9"/>
    <w:rsid w:val="00C41AE9"/>
    <w:rsid w:val="00C4240D"/>
    <w:rsid w:val="00C425E4"/>
    <w:rsid w:val="00C43049"/>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57360"/>
    <w:rsid w:val="00C601A9"/>
    <w:rsid w:val="00C60447"/>
    <w:rsid w:val="00C60B1C"/>
    <w:rsid w:val="00C60F71"/>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FE9"/>
    <w:rsid w:val="00D331B8"/>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B77A1"/>
    <w:rsid w:val="00DC0E82"/>
    <w:rsid w:val="00DC1689"/>
    <w:rsid w:val="00DC1836"/>
    <w:rsid w:val="00DC1DB6"/>
    <w:rsid w:val="00DC1DE5"/>
    <w:rsid w:val="00DC1EBC"/>
    <w:rsid w:val="00DC24C7"/>
    <w:rsid w:val="00DC2D1E"/>
    <w:rsid w:val="00DC3A64"/>
    <w:rsid w:val="00DC3DE1"/>
    <w:rsid w:val="00DC4828"/>
    <w:rsid w:val="00DC4ECC"/>
    <w:rsid w:val="00DC5244"/>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F41"/>
    <w:rsid w:val="00E06FED"/>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4EC"/>
    <w:rsid w:val="00E44331"/>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B7B2C"/>
    <w:rsid w:val="00EC0C40"/>
    <w:rsid w:val="00EC0F96"/>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7EE"/>
    <w:rsid w:val="00EE5DA6"/>
    <w:rsid w:val="00EE5E71"/>
    <w:rsid w:val="00EE5F76"/>
    <w:rsid w:val="00EE611D"/>
    <w:rsid w:val="00EE6547"/>
    <w:rsid w:val="00EE67B7"/>
    <w:rsid w:val="00EE67BF"/>
    <w:rsid w:val="00EE7102"/>
    <w:rsid w:val="00EE7289"/>
    <w:rsid w:val="00EF0692"/>
    <w:rsid w:val="00EF0CE1"/>
    <w:rsid w:val="00EF16B0"/>
    <w:rsid w:val="00EF1B34"/>
    <w:rsid w:val="00EF227B"/>
    <w:rsid w:val="00EF2634"/>
    <w:rsid w:val="00EF380C"/>
    <w:rsid w:val="00EF3F7F"/>
    <w:rsid w:val="00EF44E9"/>
    <w:rsid w:val="00EF44FE"/>
    <w:rsid w:val="00EF58B3"/>
    <w:rsid w:val="00EF76B1"/>
    <w:rsid w:val="00EF79F9"/>
    <w:rsid w:val="00EF7C60"/>
    <w:rsid w:val="00F00092"/>
    <w:rsid w:val="00F0029C"/>
    <w:rsid w:val="00F006FC"/>
    <w:rsid w:val="00F0086D"/>
    <w:rsid w:val="00F00998"/>
    <w:rsid w:val="00F00B58"/>
    <w:rsid w:val="00F00B66"/>
    <w:rsid w:val="00F011D4"/>
    <w:rsid w:val="00F01392"/>
    <w:rsid w:val="00F015F3"/>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EAF"/>
    <w:rsid w:val="00F17144"/>
    <w:rsid w:val="00F173DF"/>
    <w:rsid w:val="00F2009E"/>
    <w:rsid w:val="00F2029D"/>
    <w:rsid w:val="00F209A8"/>
    <w:rsid w:val="00F20BA7"/>
    <w:rsid w:val="00F20FDB"/>
    <w:rsid w:val="00F219E3"/>
    <w:rsid w:val="00F22035"/>
    <w:rsid w:val="00F2224A"/>
    <w:rsid w:val="00F237A1"/>
    <w:rsid w:val="00F23863"/>
    <w:rsid w:val="00F23CA7"/>
    <w:rsid w:val="00F241D9"/>
    <w:rsid w:val="00F2560A"/>
    <w:rsid w:val="00F2605F"/>
    <w:rsid w:val="00F26065"/>
    <w:rsid w:val="00F26174"/>
    <w:rsid w:val="00F26DE2"/>
    <w:rsid w:val="00F26E10"/>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2E5"/>
    <w:rsid w:val="00F63C24"/>
    <w:rsid w:val="00F63C34"/>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F19"/>
    <w:rsid w:val="00FD1F52"/>
    <w:rsid w:val="00FD2132"/>
    <w:rsid w:val="00FD225B"/>
    <w:rsid w:val="00FD326C"/>
    <w:rsid w:val="00FD45CE"/>
    <w:rsid w:val="00FD461A"/>
    <w:rsid w:val="00FD4A91"/>
    <w:rsid w:val="00FD4CBB"/>
    <w:rsid w:val="00FD5317"/>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95D0E-FF21-44D0-9732-CD48D2F6F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4</Pages>
  <Words>1063</Words>
  <Characters>6063</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110</cp:revision>
  <cp:lastPrinted>2013-10-30T13:46:00Z</cp:lastPrinted>
  <dcterms:created xsi:type="dcterms:W3CDTF">2023-05-15T01:56:00Z</dcterms:created>
  <dcterms:modified xsi:type="dcterms:W3CDTF">2024-02-19T07:24:00Z</dcterms:modified>
</cp:coreProperties>
</file>